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692" w:rsidRPr="00392319" w:rsidRDefault="007D2692" w:rsidP="00392319">
      <w:pPr>
        <w:spacing w:line="240" w:lineRule="auto"/>
        <w:rPr>
          <w:rFonts w:cs="Times New Roman"/>
          <w:b/>
          <w:sz w:val="32"/>
          <w:szCs w:val="32"/>
        </w:rPr>
      </w:pPr>
      <w:r w:rsidRPr="00392319">
        <w:rPr>
          <w:rFonts w:cs="Times New Roman"/>
          <w:b/>
          <w:sz w:val="32"/>
          <w:szCs w:val="32"/>
        </w:rPr>
        <w:t>Connecticut Employment and Unemployment in the 2008-09 Recession</w:t>
      </w:r>
      <w:r w:rsidR="00EC61AE">
        <w:rPr>
          <w:rFonts w:cs="Times New Roman"/>
          <w:b/>
          <w:sz w:val="32"/>
          <w:szCs w:val="32"/>
          <w:vertAlign w:val="superscript"/>
        </w:rPr>
        <w:t>a</w:t>
      </w:r>
      <w:r w:rsidRPr="00392319">
        <w:rPr>
          <w:rFonts w:cs="Times New Roman"/>
          <w:b/>
          <w:sz w:val="32"/>
          <w:szCs w:val="32"/>
        </w:rPr>
        <w:t xml:space="preserve"> </w:t>
      </w:r>
    </w:p>
    <w:p w:rsidR="007D2692" w:rsidRDefault="007D2692" w:rsidP="00F734BB">
      <w:pPr>
        <w:spacing w:line="480" w:lineRule="auto"/>
        <w:rPr>
          <w:rFonts w:cs="Times New Roman"/>
          <w:sz w:val="24"/>
          <w:szCs w:val="24"/>
        </w:rPr>
      </w:pPr>
      <w:r>
        <w:rPr>
          <w:rFonts w:cs="Times New Roman"/>
          <w:b/>
          <w:sz w:val="24"/>
          <w:szCs w:val="24"/>
        </w:rPr>
        <w:t>Introduction:</w:t>
      </w:r>
    </w:p>
    <w:p w:rsidR="00B00FBB" w:rsidRDefault="007D2692" w:rsidP="00B00FBB">
      <w:pPr>
        <w:spacing w:line="240" w:lineRule="auto"/>
        <w:rPr>
          <w:rFonts w:cs="Times New Roman"/>
          <w:sz w:val="24"/>
          <w:szCs w:val="24"/>
        </w:rPr>
      </w:pPr>
      <w:r>
        <w:rPr>
          <w:rFonts w:cs="Times New Roman"/>
          <w:sz w:val="24"/>
          <w:szCs w:val="24"/>
        </w:rPr>
        <w:t>This report examines trends in employment and unemployment in the Connecticut economy during the 2008-recession.  Employment and income statistics on key sectors of the State economy will be presented, along with analysis of the effects of anti-cyclical policy (e.g. funding from The American Recovery and Reinvestment Act).  Longer term State efforts at addressing regional employment issues will also be detailed.</w:t>
      </w:r>
      <w:r w:rsidR="00B00FBB">
        <w:rPr>
          <w:rFonts w:cs="Times New Roman"/>
          <w:sz w:val="24"/>
          <w:szCs w:val="24"/>
        </w:rPr>
        <w:t xml:space="preserve">  The depth and length of the current downturn is exceptional; additional interventions at the State and Federal level may be necessary to address rising unemployment.  In addition, the recession has caused more severe economic problems in certain regions of the State, particularly in the largest cities.   In the short-term this will require the continued expenditure of federal and state dollars to cushion the effects of the economic downturn.  As it is likely that some of the regional unemployment problems may persist well beyond the end of the recession, the consideration of new growth-inducing investments may be needed.</w:t>
      </w:r>
    </w:p>
    <w:p w:rsidR="00F17F38" w:rsidRDefault="00F17F38" w:rsidP="00B00FBB">
      <w:pPr>
        <w:spacing w:line="240" w:lineRule="auto"/>
        <w:rPr>
          <w:rFonts w:cs="Times New Roman"/>
          <w:sz w:val="24"/>
          <w:szCs w:val="24"/>
        </w:rPr>
      </w:pPr>
      <w:r>
        <w:rPr>
          <w:rFonts w:cs="Times New Roman"/>
          <w:sz w:val="24"/>
          <w:szCs w:val="24"/>
        </w:rPr>
        <w:t>Although the current recession officially started in the first quarter of 2008, the impact on employment in the State of Connecticut</w:t>
      </w:r>
      <w:r w:rsidR="00310242">
        <w:rPr>
          <w:rFonts w:cs="Times New Roman"/>
          <w:sz w:val="24"/>
          <w:szCs w:val="24"/>
        </w:rPr>
        <w:t xml:space="preserve"> </w:t>
      </w:r>
      <w:r>
        <w:rPr>
          <w:rFonts w:cs="Times New Roman"/>
          <w:sz w:val="24"/>
          <w:szCs w:val="24"/>
        </w:rPr>
        <w:t>was not felt until later that year.  Employment in the State peaked at 1,769,000 in April of 2008, with an unemployment rate of just 5.2%.  Total employment was still slightly higher (by 200,000 jobs) in December, but the unemployment rate had risen to 6.0%.  A year later, in December of 2009, total employment had fallen to 1,715,000, with 167,900 persons unemployed (a rate of 8.9%).  Although the unemployment rate for the State is significantly less than for the nation as a whole, it still represents a considerable deterioration in labor market conditions.</w:t>
      </w:r>
      <w:r w:rsidR="009445F3">
        <w:rPr>
          <w:rFonts w:cs="Times New Roman"/>
          <w:sz w:val="24"/>
          <w:szCs w:val="24"/>
        </w:rPr>
        <w:t xml:space="preserve">  Job losses (December on December) have been particularly severe in the construction industry, with a 12.3% decline, and in manufacturing, with a 8.5% decline.  The Administrative and Support services sector has also experienced a significant weakening (8.6% drop in employment).</w:t>
      </w:r>
    </w:p>
    <w:p w:rsidR="00EC61AE" w:rsidRDefault="00EC61AE" w:rsidP="00EC61AE">
      <w:pPr>
        <w:spacing w:line="240" w:lineRule="auto"/>
        <w:rPr>
          <w:rFonts w:cs="Times New Roman"/>
          <w:sz w:val="24"/>
          <w:szCs w:val="24"/>
        </w:rPr>
      </w:pPr>
      <w:r>
        <w:rPr>
          <w:rFonts w:cs="Times New Roman"/>
          <w:b/>
          <w:sz w:val="24"/>
          <w:szCs w:val="24"/>
        </w:rPr>
        <w:t>The Recession’s Impact on Key Sectors of the Connecticut Economy:</w:t>
      </w:r>
    </w:p>
    <w:p w:rsidR="00EC61AE" w:rsidRDefault="00EC61AE" w:rsidP="00EC61AE">
      <w:pPr>
        <w:spacing w:line="240" w:lineRule="auto"/>
        <w:rPr>
          <w:rFonts w:cs="Times New Roman"/>
          <w:sz w:val="24"/>
          <w:szCs w:val="24"/>
        </w:rPr>
      </w:pPr>
      <w:r>
        <w:rPr>
          <w:rFonts w:cs="Times New Roman"/>
          <w:sz w:val="24"/>
          <w:szCs w:val="24"/>
        </w:rPr>
        <w:t>This section will examine changes in employment and unemployment in key sectors of the Connecticut economy, notably construction, education, health care and financial services.  Manufacturing employment will also be examined, particularly in light of the State’s reliance on defense spending.</w:t>
      </w:r>
    </w:p>
    <w:p w:rsidR="00EC61AE" w:rsidRDefault="00EC61AE" w:rsidP="00EC61AE">
      <w:pPr>
        <w:spacing w:line="240" w:lineRule="auto"/>
        <w:rPr>
          <w:rFonts w:cs="Times New Roman"/>
          <w:b/>
          <w:sz w:val="24"/>
          <w:szCs w:val="24"/>
        </w:rPr>
      </w:pPr>
      <w:r>
        <w:rPr>
          <w:rFonts w:cs="Times New Roman"/>
          <w:b/>
          <w:sz w:val="24"/>
          <w:szCs w:val="24"/>
        </w:rPr>
        <w:t>--------------------------------------------------------------------------------------------------------------------</w:t>
      </w:r>
    </w:p>
    <w:p w:rsidR="00F734BB" w:rsidRDefault="00EC61AE" w:rsidP="00EC61AE">
      <w:pPr>
        <w:spacing w:line="240" w:lineRule="auto"/>
        <w:rPr>
          <w:rFonts w:cs="Times New Roman"/>
          <w:b/>
          <w:sz w:val="24"/>
          <w:szCs w:val="24"/>
        </w:rPr>
      </w:pPr>
      <w:r>
        <w:rPr>
          <w:rFonts w:cs="Times New Roman"/>
          <w:b/>
          <w:sz w:val="24"/>
          <w:szCs w:val="24"/>
          <w:vertAlign w:val="superscript"/>
        </w:rPr>
        <w:t>a</w:t>
      </w:r>
      <w:r>
        <w:rPr>
          <w:rFonts w:cs="Times New Roman"/>
          <w:b/>
          <w:sz w:val="24"/>
          <w:szCs w:val="24"/>
        </w:rPr>
        <w:t>Produced by: Maya Abinaka, Leandra Charsky, Thomas Fanning, Jeffrey Frenzilli, James Jessup, Vincent Keeney, Alanna Locast, Gregory Lynch, Emily Mandler, Melissa Martinez, Timothy McCabe, Matthew McIntosh, Megan McLaughlin, David Nevins, Geoffrey Orth, Andrew Palazzi, Joseph Purtill, Patrick Shanley, Anne Skorupski, Matthew Sullivan, John Tessitore, Nicolas Tomboulides, Thomas Trapani, Kenneth Vigilo, Marit Westenberg</w:t>
      </w:r>
    </w:p>
    <w:p w:rsidR="005A2DFB" w:rsidRPr="005A2DFB" w:rsidRDefault="005A2DFB">
      <w:pPr>
        <w:rPr>
          <w:b/>
          <w:sz w:val="24"/>
          <w:szCs w:val="24"/>
        </w:rPr>
      </w:pPr>
      <w:r>
        <w:rPr>
          <w:b/>
          <w:sz w:val="24"/>
          <w:szCs w:val="24"/>
        </w:rPr>
        <w:lastRenderedPageBreak/>
        <w:t>Construction:</w:t>
      </w:r>
    </w:p>
    <w:p w:rsidR="00CA27CC" w:rsidRPr="00BA77F7" w:rsidRDefault="00CA27CC" w:rsidP="00CA27CC">
      <w:pPr>
        <w:rPr>
          <w:sz w:val="24"/>
          <w:szCs w:val="24"/>
        </w:rPr>
      </w:pPr>
      <w:r w:rsidRPr="00BA77F7">
        <w:rPr>
          <w:sz w:val="24"/>
          <w:szCs w:val="24"/>
        </w:rPr>
        <w:t>The Construction Sector of Connecticut</w:t>
      </w:r>
      <w:r w:rsidR="007F3648" w:rsidRPr="00BA77F7">
        <w:rPr>
          <w:sz w:val="24"/>
          <w:szCs w:val="24"/>
        </w:rPr>
        <w:t xml:space="preserve"> is</w:t>
      </w:r>
      <w:r w:rsidRPr="00BA77F7">
        <w:rPr>
          <w:sz w:val="24"/>
          <w:szCs w:val="24"/>
        </w:rPr>
        <w:t xml:space="preserve"> </w:t>
      </w:r>
      <w:r w:rsidR="007F3648" w:rsidRPr="00BA77F7">
        <w:rPr>
          <w:sz w:val="24"/>
          <w:szCs w:val="24"/>
        </w:rPr>
        <w:t xml:space="preserve">comprised of organizations that are engaged in construction of buildings or other projects, including utility systems and infrastructure. </w:t>
      </w:r>
      <w:r w:rsidR="00B52812" w:rsidRPr="00BA77F7">
        <w:rPr>
          <w:sz w:val="24"/>
          <w:szCs w:val="24"/>
        </w:rPr>
        <w:t>This s</w:t>
      </w:r>
      <w:r w:rsidR="0093439C">
        <w:rPr>
          <w:sz w:val="24"/>
          <w:szCs w:val="24"/>
        </w:rPr>
        <w:t>ector of the state had</w:t>
      </w:r>
      <w:r w:rsidR="00B52812" w:rsidRPr="00BA77F7">
        <w:rPr>
          <w:sz w:val="24"/>
          <w:szCs w:val="24"/>
        </w:rPr>
        <w:t xml:space="preserve"> seen very steady employment over the past 10 years, which could be attributed to the strong housing industry pre-2</w:t>
      </w:r>
      <w:r w:rsidR="00A10E34" w:rsidRPr="00BA77F7">
        <w:rPr>
          <w:sz w:val="24"/>
          <w:szCs w:val="24"/>
        </w:rPr>
        <w:t>007</w:t>
      </w:r>
      <w:r w:rsidR="00B52812" w:rsidRPr="00BA77F7">
        <w:rPr>
          <w:sz w:val="24"/>
          <w:szCs w:val="24"/>
        </w:rPr>
        <w:t>.</w:t>
      </w:r>
      <w:r w:rsidR="00BA77F7" w:rsidRPr="00BA77F7">
        <w:rPr>
          <w:sz w:val="24"/>
          <w:szCs w:val="24"/>
        </w:rPr>
        <w:t xml:space="preserve"> Currently, the 52,400 workers employed in the construction industry make up only 3.4% of the total persons employed in the state of Connecticut.</w:t>
      </w:r>
      <w:r w:rsidR="00B52812" w:rsidRPr="00BA77F7">
        <w:rPr>
          <w:sz w:val="24"/>
          <w:szCs w:val="24"/>
        </w:rPr>
        <w:t xml:space="preserve"> </w:t>
      </w:r>
      <w:r w:rsidR="00BA77F7" w:rsidRPr="00BA77F7">
        <w:rPr>
          <w:sz w:val="24"/>
          <w:szCs w:val="24"/>
        </w:rPr>
        <w:t xml:space="preserve">At its peak, the construction industry was employing about 69,100 people in the state. </w:t>
      </w:r>
      <w:r w:rsidR="00935CEB" w:rsidRPr="00BA77F7">
        <w:rPr>
          <w:sz w:val="24"/>
          <w:szCs w:val="24"/>
        </w:rPr>
        <w:t>Employment</w:t>
      </w:r>
      <w:r w:rsidR="00A10E34" w:rsidRPr="00BA77F7">
        <w:rPr>
          <w:sz w:val="24"/>
          <w:szCs w:val="24"/>
        </w:rPr>
        <w:t xml:space="preserve"> in this sector has dropped a total of </w:t>
      </w:r>
      <w:r w:rsidR="00935CEB" w:rsidRPr="00BA77F7">
        <w:rPr>
          <w:sz w:val="24"/>
          <w:szCs w:val="24"/>
        </w:rPr>
        <w:t xml:space="preserve">27% since the sector began to shed jobs from its </w:t>
      </w:r>
      <w:r w:rsidR="00EC249A">
        <w:rPr>
          <w:sz w:val="24"/>
          <w:szCs w:val="24"/>
        </w:rPr>
        <w:t>peak</w:t>
      </w:r>
      <w:r w:rsidR="00935CEB" w:rsidRPr="00BA77F7">
        <w:rPr>
          <w:sz w:val="24"/>
          <w:szCs w:val="24"/>
        </w:rPr>
        <w:t xml:space="preserve"> in October of 2007. </w:t>
      </w:r>
      <w:r w:rsidR="00B33A46" w:rsidRPr="00BA77F7">
        <w:rPr>
          <w:sz w:val="24"/>
          <w:szCs w:val="24"/>
        </w:rPr>
        <w:t xml:space="preserve">This 27% decrease in construction employment is equal to 18,900 jobs in the state of Connecticut. </w:t>
      </w:r>
    </w:p>
    <w:p w:rsidR="00BA77F7" w:rsidRPr="00BA77F7" w:rsidRDefault="00BA77F7" w:rsidP="00CA27CC">
      <w:pPr>
        <w:rPr>
          <w:sz w:val="24"/>
          <w:szCs w:val="24"/>
        </w:rPr>
      </w:pPr>
      <w:r w:rsidRPr="00BA77F7">
        <w:rPr>
          <w:sz w:val="24"/>
          <w:szCs w:val="24"/>
        </w:rPr>
        <w:t xml:space="preserve"> In the first quarter of 2009, the Hartford Labor Market Area employed the largest amount of construction laborers in the state, around 19,230. The labor market employed</w:t>
      </w:r>
      <w:r>
        <w:rPr>
          <w:sz w:val="24"/>
          <w:szCs w:val="24"/>
        </w:rPr>
        <w:t xml:space="preserve"> more than</w:t>
      </w:r>
      <w:r w:rsidRPr="00BA77F7">
        <w:rPr>
          <w:sz w:val="24"/>
          <w:szCs w:val="24"/>
        </w:rPr>
        <w:t xml:space="preserve"> 37% of all construction oriented laborers in the state.  The median wage of construction workers in this labor market is approximately $23.88 per hour, leading to a yearly wage of approximately $49,670. Good paying jobs such as these are essential to the economy of the Hartford area. </w:t>
      </w:r>
    </w:p>
    <w:p w:rsidR="00BA77F7" w:rsidRPr="00BA77F7" w:rsidRDefault="00BA77F7" w:rsidP="00CA27CC">
      <w:pPr>
        <w:rPr>
          <w:sz w:val="24"/>
          <w:szCs w:val="24"/>
        </w:rPr>
      </w:pPr>
      <w:r w:rsidRPr="00BA77F7">
        <w:rPr>
          <w:sz w:val="24"/>
          <w:szCs w:val="24"/>
        </w:rPr>
        <w:t xml:space="preserve">The Bridgeport-Stamford Labor market employed the second highest number of </w:t>
      </w:r>
      <w:r w:rsidRPr="00BA77F7">
        <w:rPr>
          <w:noProof/>
          <w:sz w:val="24"/>
          <w:szCs w:val="24"/>
        </w:rPr>
        <w:drawing>
          <wp:anchor distT="0" distB="0" distL="114300" distR="114300" simplePos="0" relativeHeight="251658240" behindDoc="0" locked="0" layoutInCell="1" allowOverlap="1">
            <wp:simplePos x="933450" y="5960962"/>
            <wp:positionH relativeFrom="margin">
              <wp:align>right</wp:align>
            </wp:positionH>
            <wp:positionV relativeFrom="margin">
              <wp:align>bottom</wp:align>
            </wp:positionV>
            <wp:extent cx="4073597" cy="2558005"/>
            <wp:effectExtent l="19050" t="0" r="22153" b="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sidRPr="00BA77F7">
        <w:rPr>
          <w:sz w:val="24"/>
          <w:szCs w:val="24"/>
        </w:rPr>
        <w:t xml:space="preserve">construction laborers in the state. 12,710 persons were employed in the first quarter of 2009 in this area, which made up nearly 25% of the state’s construction employment. Workers in this area were paid an average of </w:t>
      </w:r>
      <w:r w:rsidR="00E03DCF">
        <w:rPr>
          <w:sz w:val="24"/>
          <w:szCs w:val="24"/>
        </w:rPr>
        <w:t>$</w:t>
      </w:r>
      <w:r w:rsidRPr="00BA77F7">
        <w:rPr>
          <w:sz w:val="24"/>
          <w:szCs w:val="24"/>
        </w:rPr>
        <w:t xml:space="preserve">.79 less per hour than workers in the Hartford Labor Market Area, leading to a median wage of $23.09. </w:t>
      </w:r>
      <w:r w:rsidR="0093439C" w:rsidRPr="00BA77F7">
        <w:rPr>
          <w:sz w:val="24"/>
          <w:szCs w:val="24"/>
        </w:rPr>
        <w:t>The</w:t>
      </w:r>
      <w:r w:rsidR="0093439C">
        <w:rPr>
          <w:sz w:val="24"/>
          <w:szCs w:val="24"/>
        </w:rPr>
        <w:t>ir yearly median wage was</w:t>
      </w:r>
      <w:r w:rsidRPr="00BA77F7">
        <w:rPr>
          <w:sz w:val="24"/>
          <w:szCs w:val="24"/>
        </w:rPr>
        <w:t xml:space="preserve"> roughly $48,000. </w:t>
      </w:r>
    </w:p>
    <w:p w:rsidR="00BA77F7" w:rsidRPr="00BA77F7" w:rsidRDefault="00BA77F7" w:rsidP="00CA27CC">
      <w:pPr>
        <w:rPr>
          <w:sz w:val="24"/>
          <w:szCs w:val="24"/>
        </w:rPr>
      </w:pPr>
      <w:r w:rsidRPr="00BA77F7">
        <w:rPr>
          <w:sz w:val="24"/>
          <w:szCs w:val="24"/>
        </w:rPr>
        <w:t>The New Haven Labor Market Area employed 10,190 workers in the first quarter of 2009, accounting for approximately 20% of the construction workers in the state. Construction laborers in the New Haven Labor Market</w:t>
      </w:r>
      <w:r w:rsidR="0093439C">
        <w:rPr>
          <w:sz w:val="24"/>
          <w:szCs w:val="24"/>
        </w:rPr>
        <w:t xml:space="preserve"> Area </w:t>
      </w:r>
      <w:r w:rsidRPr="00BA77F7">
        <w:rPr>
          <w:sz w:val="24"/>
          <w:szCs w:val="24"/>
        </w:rPr>
        <w:t xml:space="preserve">are the highest paid in the state, earning a median hourly wage of $24.28, or a yearly wage of approximately $50,509. </w:t>
      </w:r>
    </w:p>
    <w:p w:rsidR="00BA77F7" w:rsidRPr="00BA77F7" w:rsidRDefault="00BA77F7" w:rsidP="00CA27CC">
      <w:pPr>
        <w:rPr>
          <w:sz w:val="24"/>
          <w:szCs w:val="24"/>
        </w:rPr>
      </w:pPr>
      <w:r w:rsidRPr="00BA77F7">
        <w:rPr>
          <w:sz w:val="24"/>
          <w:szCs w:val="24"/>
        </w:rPr>
        <w:t xml:space="preserve">2,720 persons were employed in the construction industry in the Danbury Labor Market Area, making up only 5% of the total persons employed in this </w:t>
      </w:r>
      <w:r w:rsidR="00E03DCF">
        <w:rPr>
          <w:sz w:val="24"/>
          <w:szCs w:val="24"/>
        </w:rPr>
        <w:t>region of</w:t>
      </w:r>
      <w:r w:rsidRPr="00BA77F7">
        <w:rPr>
          <w:sz w:val="24"/>
          <w:szCs w:val="24"/>
        </w:rPr>
        <w:t xml:space="preserve"> the state. Workers in this area were some of the lowest paid in </w:t>
      </w:r>
      <w:r w:rsidRPr="00BA77F7">
        <w:rPr>
          <w:sz w:val="24"/>
          <w:szCs w:val="24"/>
        </w:rPr>
        <w:lastRenderedPageBreak/>
        <w:t>the state, earning an average of $22.26 per hour, nearly $2.02 less per hour than those employed in the New Haven Market Area. Workers earned a median yearly wage of $46,290 in this area.</w:t>
      </w:r>
    </w:p>
    <w:p w:rsidR="00BA77F7" w:rsidRPr="00BA77F7" w:rsidRDefault="00BA77F7" w:rsidP="00CA27CC">
      <w:pPr>
        <w:rPr>
          <w:sz w:val="24"/>
          <w:szCs w:val="24"/>
        </w:rPr>
      </w:pPr>
      <w:r w:rsidRPr="00BA77F7">
        <w:rPr>
          <w:sz w:val="24"/>
          <w:szCs w:val="24"/>
        </w:rPr>
        <w:t>The Norwich-New London Labor Market Area saw an employment of 4,670 workers in the first quarter of 2009. On average, workers were paid $22.24 leading to a</w:t>
      </w:r>
      <w:r w:rsidR="0093439C">
        <w:rPr>
          <w:sz w:val="24"/>
          <w:szCs w:val="24"/>
        </w:rPr>
        <w:t>n</w:t>
      </w:r>
      <w:r w:rsidRPr="00BA77F7">
        <w:rPr>
          <w:sz w:val="24"/>
          <w:szCs w:val="24"/>
        </w:rPr>
        <w:t xml:space="preserve"> annual income of $46,270. Construction employment in this labor market area made up for 9% of construction employment in the state. </w:t>
      </w:r>
    </w:p>
    <w:p w:rsidR="00BA77F7" w:rsidRDefault="00BA77F7" w:rsidP="00CA27CC">
      <w:pPr>
        <w:rPr>
          <w:sz w:val="24"/>
          <w:szCs w:val="24"/>
        </w:rPr>
      </w:pPr>
      <w:r w:rsidRPr="00BA77F7">
        <w:rPr>
          <w:sz w:val="24"/>
          <w:szCs w:val="24"/>
        </w:rPr>
        <w:t xml:space="preserve">Construction occupations in the Waterbury Labor Market Area earned the lowest median wages of any workers in the same industry in the state. Workers were paid on average $22.01 per hour, and an annual wage of $45,784. These workers on average were paid $2.27 less per hour and $4,725 less per year compared to workers in the same industry in the New Haven labor market area. </w:t>
      </w:r>
    </w:p>
    <w:p w:rsidR="00E530A3" w:rsidRPr="00BA77F7" w:rsidRDefault="00E530A3" w:rsidP="00CA27CC">
      <w:pPr>
        <w:rPr>
          <w:sz w:val="24"/>
          <w:szCs w:val="24"/>
        </w:rPr>
      </w:pPr>
    </w:p>
    <w:tbl>
      <w:tblPr>
        <w:tblpPr w:leftFromText="180" w:rightFromText="180" w:vertAnchor="text" w:horzAnchor="margin" w:tblpXSpec="center" w:tblpY="1"/>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1423"/>
        <w:gridCol w:w="1400"/>
        <w:gridCol w:w="960"/>
        <w:gridCol w:w="1342"/>
      </w:tblGrid>
      <w:tr w:rsidR="0093439C" w:rsidRPr="009426BD" w:rsidTr="0093439C">
        <w:trPr>
          <w:trHeight w:val="885"/>
        </w:trPr>
        <w:tc>
          <w:tcPr>
            <w:tcW w:w="2160" w:type="dxa"/>
            <w:shd w:val="clear" w:color="auto" w:fill="auto"/>
            <w:noWrap/>
            <w:vAlign w:val="bottom"/>
            <w:hideMark/>
          </w:tcPr>
          <w:p w:rsidR="0093439C" w:rsidRPr="009426BD" w:rsidRDefault="0093439C" w:rsidP="0093439C">
            <w:pPr>
              <w:spacing w:after="0" w:line="240" w:lineRule="auto"/>
              <w:rPr>
                <w:rFonts w:ascii="Calibri" w:eastAsia="Times New Roman" w:hAnsi="Calibri" w:cs="Times New Roman"/>
                <w:color w:val="000000"/>
              </w:rPr>
            </w:pPr>
            <w:r w:rsidRPr="009426BD">
              <w:rPr>
                <w:rFonts w:ascii="Calibri" w:eastAsia="Times New Roman" w:hAnsi="Calibri" w:cs="Times New Roman"/>
                <w:color w:val="000000"/>
              </w:rPr>
              <w:t>LMA</w:t>
            </w:r>
          </w:p>
        </w:tc>
        <w:tc>
          <w:tcPr>
            <w:tcW w:w="1423" w:type="dxa"/>
            <w:shd w:val="clear" w:color="auto" w:fill="auto"/>
            <w:vAlign w:val="bottom"/>
            <w:hideMark/>
          </w:tcPr>
          <w:p w:rsidR="0093439C" w:rsidRPr="009426BD" w:rsidRDefault="0093439C" w:rsidP="0093439C">
            <w:pPr>
              <w:spacing w:after="0" w:line="240" w:lineRule="auto"/>
              <w:rPr>
                <w:rFonts w:ascii="Calibri" w:eastAsia="Times New Roman" w:hAnsi="Calibri" w:cs="Times New Roman"/>
                <w:color w:val="000000"/>
              </w:rPr>
            </w:pPr>
            <w:r w:rsidRPr="009426BD">
              <w:rPr>
                <w:rFonts w:ascii="Calibri" w:eastAsia="Times New Roman" w:hAnsi="Calibri" w:cs="Times New Roman"/>
                <w:color w:val="000000"/>
              </w:rPr>
              <w:t>Employment-Construction</w:t>
            </w:r>
          </w:p>
        </w:tc>
        <w:tc>
          <w:tcPr>
            <w:tcW w:w="1400" w:type="dxa"/>
            <w:shd w:val="clear" w:color="auto" w:fill="auto"/>
            <w:vAlign w:val="bottom"/>
            <w:hideMark/>
          </w:tcPr>
          <w:p w:rsidR="0093439C" w:rsidRPr="009426BD" w:rsidRDefault="0093439C" w:rsidP="0093439C">
            <w:pPr>
              <w:spacing w:after="0" w:line="240" w:lineRule="auto"/>
              <w:rPr>
                <w:rFonts w:ascii="Calibri" w:eastAsia="Times New Roman" w:hAnsi="Calibri" w:cs="Times New Roman"/>
                <w:color w:val="000000"/>
              </w:rPr>
            </w:pPr>
            <w:r w:rsidRPr="009426BD">
              <w:rPr>
                <w:rFonts w:ascii="Calibri" w:eastAsia="Times New Roman" w:hAnsi="Calibri" w:cs="Times New Roman"/>
                <w:color w:val="000000"/>
              </w:rPr>
              <w:t>Median Wage ($/Hour)</w:t>
            </w:r>
          </w:p>
        </w:tc>
        <w:tc>
          <w:tcPr>
            <w:tcW w:w="960" w:type="dxa"/>
            <w:shd w:val="clear" w:color="auto" w:fill="auto"/>
            <w:vAlign w:val="bottom"/>
            <w:hideMark/>
          </w:tcPr>
          <w:p w:rsidR="0093439C" w:rsidRPr="009426BD" w:rsidRDefault="0093439C" w:rsidP="0093439C">
            <w:pPr>
              <w:spacing w:after="0" w:line="240" w:lineRule="auto"/>
              <w:rPr>
                <w:rFonts w:ascii="Calibri" w:eastAsia="Times New Roman" w:hAnsi="Calibri" w:cs="Times New Roman"/>
                <w:color w:val="000000"/>
              </w:rPr>
            </w:pPr>
            <w:r w:rsidRPr="009426BD">
              <w:rPr>
                <w:rFonts w:ascii="Calibri" w:eastAsia="Times New Roman" w:hAnsi="Calibri" w:cs="Times New Roman"/>
                <w:color w:val="000000"/>
              </w:rPr>
              <w:t>Median Wage ($/Year)</w:t>
            </w:r>
          </w:p>
        </w:tc>
        <w:tc>
          <w:tcPr>
            <w:tcW w:w="1342" w:type="dxa"/>
            <w:shd w:val="clear" w:color="auto" w:fill="auto"/>
            <w:vAlign w:val="bottom"/>
            <w:hideMark/>
          </w:tcPr>
          <w:p w:rsidR="0093439C" w:rsidRPr="009426BD" w:rsidRDefault="0093439C" w:rsidP="0093439C">
            <w:pPr>
              <w:spacing w:after="0" w:line="240" w:lineRule="auto"/>
              <w:rPr>
                <w:rFonts w:ascii="Calibri" w:eastAsia="Times New Roman" w:hAnsi="Calibri" w:cs="Times New Roman"/>
                <w:color w:val="000000"/>
              </w:rPr>
            </w:pPr>
            <w:r w:rsidRPr="009426BD">
              <w:rPr>
                <w:rFonts w:ascii="Calibri" w:eastAsia="Times New Roman" w:hAnsi="Calibri" w:cs="Times New Roman"/>
                <w:color w:val="000000"/>
              </w:rPr>
              <w:t>% of construction workers in state</w:t>
            </w:r>
          </w:p>
        </w:tc>
      </w:tr>
      <w:tr w:rsidR="0093439C" w:rsidRPr="009426BD" w:rsidTr="0093439C">
        <w:trPr>
          <w:trHeight w:val="300"/>
        </w:trPr>
        <w:tc>
          <w:tcPr>
            <w:tcW w:w="2160" w:type="dxa"/>
            <w:shd w:val="clear" w:color="auto" w:fill="auto"/>
            <w:noWrap/>
            <w:vAlign w:val="bottom"/>
            <w:hideMark/>
          </w:tcPr>
          <w:p w:rsidR="0093439C" w:rsidRPr="009426BD" w:rsidRDefault="0093439C" w:rsidP="0093439C">
            <w:pPr>
              <w:spacing w:after="0" w:line="240" w:lineRule="auto"/>
              <w:rPr>
                <w:rFonts w:ascii="Calibri" w:eastAsia="Times New Roman" w:hAnsi="Calibri" w:cs="Times New Roman"/>
                <w:color w:val="000000"/>
              </w:rPr>
            </w:pPr>
            <w:r w:rsidRPr="009426BD">
              <w:rPr>
                <w:rFonts w:ascii="Calibri" w:eastAsia="Times New Roman" w:hAnsi="Calibri" w:cs="Times New Roman"/>
                <w:color w:val="000000"/>
              </w:rPr>
              <w:t>Hartford</w:t>
            </w:r>
          </w:p>
        </w:tc>
        <w:tc>
          <w:tcPr>
            <w:tcW w:w="1423"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19230</w:t>
            </w:r>
          </w:p>
        </w:tc>
        <w:tc>
          <w:tcPr>
            <w:tcW w:w="1400"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23.88</w:t>
            </w:r>
          </w:p>
        </w:tc>
        <w:tc>
          <w:tcPr>
            <w:tcW w:w="960"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49670</w:t>
            </w:r>
          </w:p>
        </w:tc>
        <w:tc>
          <w:tcPr>
            <w:tcW w:w="1342"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37.10</w:t>
            </w:r>
          </w:p>
        </w:tc>
      </w:tr>
      <w:tr w:rsidR="0093439C" w:rsidRPr="009426BD" w:rsidTr="0093439C">
        <w:trPr>
          <w:trHeight w:val="300"/>
        </w:trPr>
        <w:tc>
          <w:tcPr>
            <w:tcW w:w="2160" w:type="dxa"/>
            <w:shd w:val="clear" w:color="auto" w:fill="auto"/>
            <w:noWrap/>
            <w:vAlign w:val="bottom"/>
            <w:hideMark/>
          </w:tcPr>
          <w:p w:rsidR="0093439C" w:rsidRPr="009426BD" w:rsidRDefault="0093439C" w:rsidP="0093439C">
            <w:pPr>
              <w:spacing w:after="0" w:line="240" w:lineRule="auto"/>
              <w:rPr>
                <w:rFonts w:ascii="Calibri" w:eastAsia="Times New Roman" w:hAnsi="Calibri" w:cs="Times New Roman"/>
                <w:color w:val="000000"/>
              </w:rPr>
            </w:pPr>
            <w:r w:rsidRPr="009426BD">
              <w:rPr>
                <w:rFonts w:ascii="Calibri" w:eastAsia="Times New Roman" w:hAnsi="Calibri" w:cs="Times New Roman"/>
                <w:color w:val="000000"/>
              </w:rPr>
              <w:t>Bridgeport-Stamford</w:t>
            </w:r>
          </w:p>
        </w:tc>
        <w:tc>
          <w:tcPr>
            <w:tcW w:w="1423"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12710</w:t>
            </w:r>
          </w:p>
        </w:tc>
        <w:tc>
          <w:tcPr>
            <w:tcW w:w="1400"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23.09</w:t>
            </w:r>
          </w:p>
        </w:tc>
        <w:tc>
          <w:tcPr>
            <w:tcW w:w="960"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48030</w:t>
            </w:r>
          </w:p>
        </w:tc>
        <w:tc>
          <w:tcPr>
            <w:tcW w:w="1342"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24.52</w:t>
            </w:r>
          </w:p>
        </w:tc>
      </w:tr>
      <w:tr w:rsidR="0093439C" w:rsidRPr="009426BD" w:rsidTr="0093439C">
        <w:trPr>
          <w:trHeight w:val="300"/>
        </w:trPr>
        <w:tc>
          <w:tcPr>
            <w:tcW w:w="2160" w:type="dxa"/>
            <w:shd w:val="clear" w:color="auto" w:fill="auto"/>
            <w:noWrap/>
            <w:vAlign w:val="bottom"/>
            <w:hideMark/>
          </w:tcPr>
          <w:p w:rsidR="0093439C" w:rsidRPr="009426BD" w:rsidRDefault="0093439C" w:rsidP="0093439C">
            <w:pPr>
              <w:spacing w:after="0" w:line="240" w:lineRule="auto"/>
              <w:rPr>
                <w:rFonts w:ascii="Calibri" w:eastAsia="Times New Roman" w:hAnsi="Calibri" w:cs="Times New Roman"/>
                <w:color w:val="000000"/>
              </w:rPr>
            </w:pPr>
            <w:r w:rsidRPr="009426BD">
              <w:rPr>
                <w:rFonts w:ascii="Calibri" w:eastAsia="Times New Roman" w:hAnsi="Calibri" w:cs="Times New Roman"/>
                <w:color w:val="000000"/>
              </w:rPr>
              <w:t>New Haven</w:t>
            </w:r>
          </w:p>
        </w:tc>
        <w:tc>
          <w:tcPr>
            <w:tcW w:w="1423"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10190</w:t>
            </w:r>
          </w:p>
        </w:tc>
        <w:tc>
          <w:tcPr>
            <w:tcW w:w="1400"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24.28</w:t>
            </w:r>
          </w:p>
        </w:tc>
        <w:tc>
          <w:tcPr>
            <w:tcW w:w="960"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50509</w:t>
            </w:r>
          </w:p>
        </w:tc>
        <w:tc>
          <w:tcPr>
            <w:tcW w:w="1342"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19.66</w:t>
            </w:r>
          </w:p>
        </w:tc>
      </w:tr>
      <w:tr w:rsidR="0093439C" w:rsidRPr="009426BD" w:rsidTr="0093439C">
        <w:trPr>
          <w:trHeight w:val="300"/>
        </w:trPr>
        <w:tc>
          <w:tcPr>
            <w:tcW w:w="2160" w:type="dxa"/>
            <w:shd w:val="clear" w:color="auto" w:fill="auto"/>
            <w:noWrap/>
            <w:vAlign w:val="bottom"/>
            <w:hideMark/>
          </w:tcPr>
          <w:p w:rsidR="0093439C" w:rsidRPr="009426BD" w:rsidRDefault="0093439C" w:rsidP="0093439C">
            <w:pPr>
              <w:spacing w:after="0" w:line="240" w:lineRule="auto"/>
              <w:rPr>
                <w:rFonts w:ascii="Calibri" w:eastAsia="Times New Roman" w:hAnsi="Calibri" w:cs="Times New Roman"/>
                <w:color w:val="000000"/>
              </w:rPr>
            </w:pPr>
            <w:r w:rsidRPr="009426BD">
              <w:rPr>
                <w:rFonts w:ascii="Calibri" w:eastAsia="Times New Roman" w:hAnsi="Calibri" w:cs="Times New Roman"/>
                <w:color w:val="000000"/>
              </w:rPr>
              <w:t>Danbury</w:t>
            </w:r>
          </w:p>
        </w:tc>
        <w:tc>
          <w:tcPr>
            <w:tcW w:w="1423"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2720</w:t>
            </w:r>
          </w:p>
        </w:tc>
        <w:tc>
          <w:tcPr>
            <w:tcW w:w="1400"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22.26</w:t>
            </w:r>
          </w:p>
        </w:tc>
        <w:tc>
          <w:tcPr>
            <w:tcW w:w="960"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46290</w:t>
            </w:r>
          </w:p>
        </w:tc>
        <w:tc>
          <w:tcPr>
            <w:tcW w:w="1342"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5.25</w:t>
            </w:r>
          </w:p>
        </w:tc>
      </w:tr>
      <w:tr w:rsidR="0093439C" w:rsidRPr="009426BD" w:rsidTr="0093439C">
        <w:trPr>
          <w:trHeight w:val="300"/>
        </w:trPr>
        <w:tc>
          <w:tcPr>
            <w:tcW w:w="2160" w:type="dxa"/>
            <w:shd w:val="clear" w:color="auto" w:fill="auto"/>
            <w:noWrap/>
            <w:vAlign w:val="bottom"/>
            <w:hideMark/>
          </w:tcPr>
          <w:p w:rsidR="0093439C" w:rsidRPr="009426BD" w:rsidRDefault="0093439C" w:rsidP="0093439C">
            <w:pPr>
              <w:spacing w:after="0" w:line="240" w:lineRule="auto"/>
              <w:rPr>
                <w:rFonts w:ascii="Calibri" w:eastAsia="Times New Roman" w:hAnsi="Calibri" w:cs="Times New Roman"/>
                <w:color w:val="000000"/>
              </w:rPr>
            </w:pPr>
            <w:r w:rsidRPr="009426BD">
              <w:rPr>
                <w:rFonts w:ascii="Calibri" w:eastAsia="Times New Roman" w:hAnsi="Calibri" w:cs="Times New Roman"/>
                <w:color w:val="000000"/>
              </w:rPr>
              <w:t>Norwich-New London</w:t>
            </w:r>
          </w:p>
        </w:tc>
        <w:tc>
          <w:tcPr>
            <w:tcW w:w="1423"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4670</w:t>
            </w:r>
          </w:p>
        </w:tc>
        <w:tc>
          <w:tcPr>
            <w:tcW w:w="1400"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22.24</w:t>
            </w:r>
          </w:p>
        </w:tc>
        <w:tc>
          <w:tcPr>
            <w:tcW w:w="960"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46270</w:t>
            </w:r>
          </w:p>
        </w:tc>
        <w:tc>
          <w:tcPr>
            <w:tcW w:w="1342"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9.01</w:t>
            </w:r>
          </w:p>
        </w:tc>
      </w:tr>
      <w:tr w:rsidR="0093439C" w:rsidRPr="009426BD" w:rsidTr="0093439C">
        <w:trPr>
          <w:trHeight w:val="300"/>
        </w:trPr>
        <w:tc>
          <w:tcPr>
            <w:tcW w:w="2160" w:type="dxa"/>
            <w:shd w:val="clear" w:color="auto" w:fill="auto"/>
            <w:noWrap/>
            <w:vAlign w:val="bottom"/>
            <w:hideMark/>
          </w:tcPr>
          <w:p w:rsidR="0093439C" w:rsidRPr="009426BD" w:rsidRDefault="0093439C" w:rsidP="0093439C">
            <w:pPr>
              <w:spacing w:after="0" w:line="240" w:lineRule="auto"/>
              <w:rPr>
                <w:rFonts w:ascii="Calibri" w:eastAsia="Times New Roman" w:hAnsi="Calibri" w:cs="Times New Roman"/>
                <w:color w:val="000000"/>
              </w:rPr>
            </w:pPr>
            <w:r w:rsidRPr="009426BD">
              <w:rPr>
                <w:rFonts w:ascii="Calibri" w:eastAsia="Times New Roman" w:hAnsi="Calibri" w:cs="Times New Roman"/>
                <w:color w:val="000000"/>
              </w:rPr>
              <w:t>Waterbury</w:t>
            </w:r>
          </w:p>
        </w:tc>
        <w:tc>
          <w:tcPr>
            <w:tcW w:w="1423"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2310</w:t>
            </w:r>
          </w:p>
        </w:tc>
        <w:tc>
          <w:tcPr>
            <w:tcW w:w="1400"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22.01</w:t>
            </w:r>
          </w:p>
        </w:tc>
        <w:tc>
          <w:tcPr>
            <w:tcW w:w="960"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45784</w:t>
            </w:r>
          </w:p>
        </w:tc>
        <w:tc>
          <w:tcPr>
            <w:tcW w:w="1342" w:type="dxa"/>
            <w:shd w:val="clear" w:color="auto" w:fill="auto"/>
            <w:noWrap/>
            <w:vAlign w:val="bottom"/>
            <w:hideMark/>
          </w:tcPr>
          <w:p w:rsidR="0093439C" w:rsidRPr="009426BD" w:rsidRDefault="0093439C" w:rsidP="0093439C">
            <w:pPr>
              <w:spacing w:after="0" w:line="240" w:lineRule="auto"/>
              <w:jc w:val="right"/>
              <w:rPr>
                <w:rFonts w:ascii="Calibri" w:eastAsia="Times New Roman" w:hAnsi="Calibri" w:cs="Times New Roman"/>
                <w:color w:val="000000"/>
              </w:rPr>
            </w:pPr>
            <w:r w:rsidRPr="009426BD">
              <w:rPr>
                <w:rFonts w:ascii="Calibri" w:eastAsia="Times New Roman" w:hAnsi="Calibri" w:cs="Times New Roman"/>
                <w:color w:val="000000"/>
              </w:rPr>
              <w:t>4.46</w:t>
            </w:r>
          </w:p>
        </w:tc>
      </w:tr>
    </w:tbl>
    <w:p w:rsidR="00E530A3" w:rsidRDefault="00E530A3" w:rsidP="00CA27CC">
      <w:pPr>
        <w:rPr>
          <w:sz w:val="24"/>
          <w:szCs w:val="24"/>
        </w:rPr>
      </w:pPr>
    </w:p>
    <w:p w:rsidR="00E530A3" w:rsidRDefault="00E530A3" w:rsidP="00CA27CC">
      <w:pPr>
        <w:rPr>
          <w:sz w:val="24"/>
          <w:szCs w:val="24"/>
        </w:rPr>
      </w:pPr>
    </w:p>
    <w:p w:rsidR="00E530A3" w:rsidRDefault="00E530A3" w:rsidP="00CA27CC">
      <w:pPr>
        <w:rPr>
          <w:sz w:val="24"/>
          <w:szCs w:val="24"/>
        </w:rPr>
      </w:pPr>
    </w:p>
    <w:p w:rsidR="00E530A3" w:rsidRDefault="00E530A3" w:rsidP="00CA27CC">
      <w:pPr>
        <w:rPr>
          <w:sz w:val="24"/>
          <w:szCs w:val="24"/>
        </w:rPr>
      </w:pPr>
    </w:p>
    <w:p w:rsidR="00E530A3" w:rsidRDefault="00E530A3" w:rsidP="00CA27CC">
      <w:pPr>
        <w:rPr>
          <w:sz w:val="24"/>
          <w:szCs w:val="24"/>
        </w:rPr>
      </w:pPr>
    </w:p>
    <w:p w:rsidR="00E530A3" w:rsidRDefault="00E530A3" w:rsidP="00CA27CC">
      <w:pPr>
        <w:rPr>
          <w:sz w:val="24"/>
          <w:szCs w:val="24"/>
        </w:rPr>
      </w:pPr>
    </w:p>
    <w:p w:rsidR="00E530A3" w:rsidRDefault="00E530A3" w:rsidP="00CA27CC">
      <w:pPr>
        <w:rPr>
          <w:sz w:val="24"/>
          <w:szCs w:val="24"/>
        </w:rPr>
      </w:pPr>
    </w:p>
    <w:p w:rsidR="009426BD" w:rsidRPr="00BA77F7" w:rsidRDefault="00BA77F7" w:rsidP="00CA27CC">
      <w:pPr>
        <w:rPr>
          <w:sz w:val="24"/>
          <w:szCs w:val="24"/>
        </w:rPr>
      </w:pPr>
      <w:r w:rsidRPr="00BA77F7">
        <w:rPr>
          <w:sz w:val="24"/>
          <w:szCs w:val="24"/>
        </w:rPr>
        <w:t xml:space="preserve">The </w:t>
      </w:r>
      <w:r w:rsidR="0093439C">
        <w:rPr>
          <w:sz w:val="24"/>
          <w:szCs w:val="24"/>
        </w:rPr>
        <w:t>sub-category of Specialty Trade C</w:t>
      </w:r>
      <w:r w:rsidRPr="00BA77F7">
        <w:rPr>
          <w:sz w:val="24"/>
          <w:szCs w:val="24"/>
        </w:rPr>
        <w:t xml:space="preserve">onstruction employed the largest number of construction workers in the state with 36,862 workers. Working at over 7,000 work sites across the state, these workers earned an average quarterly wage of $12,731. The next largest sub-category of workers in this industry worked on the construction of buildings. 10,850 persons worked at nearly 3,000 work sites across the state. Those employed in the category earned an average quarterly wage of $14,872. The smallest </w:t>
      </w:r>
      <w:r w:rsidR="0093439C" w:rsidRPr="00BA77F7">
        <w:rPr>
          <w:sz w:val="24"/>
          <w:szCs w:val="24"/>
        </w:rPr>
        <w:t>sub-category</w:t>
      </w:r>
      <w:r w:rsidR="00EC249A">
        <w:rPr>
          <w:sz w:val="24"/>
          <w:szCs w:val="24"/>
        </w:rPr>
        <w:t>,</w:t>
      </w:r>
      <w:r w:rsidRPr="00BA77F7">
        <w:rPr>
          <w:sz w:val="24"/>
          <w:szCs w:val="24"/>
        </w:rPr>
        <w:t xml:space="preserve"> and also the highest paid, were those employed in heavy and civil engineering construction. 4,067 workers earned an average quarterly income of $17,324. </w:t>
      </w:r>
    </w:p>
    <w:p w:rsidR="00F734BB" w:rsidRDefault="00BA77F7" w:rsidP="00BA77F7">
      <w:pPr>
        <w:rPr>
          <w:sz w:val="24"/>
          <w:szCs w:val="24"/>
        </w:rPr>
      </w:pPr>
      <w:r w:rsidRPr="00BA77F7">
        <w:rPr>
          <w:sz w:val="24"/>
          <w:szCs w:val="24"/>
        </w:rPr>
        <w:t xml:space="preserve">Even though the construction industry has posted the largest percentage of job loss of any sector in Connecticut’s economy, the sector may be </w:t>
      </w:r>
      <w:r w:rsidR="00EC249A">
        <w:rPr>
          <w:sz w:val="24"/>
          <w:szCs w:val="24"/>
        </w:rPr>
        <w:t>reaching a bottom</w:t>
      </w:r>
      <w:r w:rsidRPr="00BA77F7">
        <w:rPr>
          <w:sz w:val="24"/>
          <w:szCs w:val="24"/>
        </w:rPr>
        <w:t xml:space="preserve">. July 2009 saw the lowest construction employment the state has seen since the late 90’s, but employment has </w:t>
      </w:r>
      <w:r w:rsidRPr="00BA77F7">
        <w:rPr>
          <w:sz w:val="24"/>
          <w:szCs w:val="24"/>
        </w:rPr>
        <w:lastRenderedPageBreak/>
        <w:t xml:space="preserve">been on the rise since then. In September 2009, 51,800 people were employed in this sector. </w:t>
      </w:r>
      <w:r w:rsidRPr="00BA77F7">
        <w:rPr>
          <w:noProof/>
          <w:sz w:val="24"/>
          <w:szCs w:val="24"/>
        </w:rPr>
        <w:drawing>
          <wp:inline distT="0" distB="0" distL="0" distR="0">
            <wp:extent cx="5796176" cy="223391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93439C">
        <w:rPr>
          <w:sz w:val="24"/>
          <w:szCs w:val="24"/>
        </w:rPr>
        <w:t xml:space="preserve"> </w:t>
      </w:r>
    </w:p>
    <w:p w:rsidR="0093439C" w:rsidRDefault="00BA77F7" w:rsidP="00BA77F7">
      <w:pPr>
        <w:rPr>
          <w:sz w:val="24"/>
          <w:szCs w:val="24"/>
        </w:rPr>
      </w:pPr>
      <w:r w:rsidRPr="00BA77F7">
        <w:rPr>
          <w:sz w:val="24"/>
          <w:szCs w:val="24"/>
        </w:rPr>
        <w:t>In October 2009, it was reported that 52,400 jobs in Connecticut were in the construction industry. This industry was tied for first when it came to job gain percentage between October 2009 and September 2009. Though the gain may have been meager, only 1.2%, any gains are more than welcome considering the losses that have occurred over the course of the past couple</w:t>
      </w:r>
      <w:r w:rsidR="00E03DCF">
        <w:rPr>
          <w:sz w:val="24"/>
          <w:szCs w:val="24"/>
        </w:rPr>
        <w:t xml:space="preserve"> of</w:t>
      </w:r>
      <w:r w:rsidRPr="00BA77F7">
        <w:rPr>
          <w:sz w:val="24"/>
          <w:szCs w:val="24"/>
        </w:rPr>
        <w:t xml:space="preserve"> years.</w:t>
      </w:r>
      <w:r>
        <w:rPr>
          <w:sz w:val="24"/>
          <w:szCs w:val="24"/>
        </w:rPr>
        <w:t xml:space="preserve"> In addition to this, economically depressed areas are looking towards development of brown fields</w:t>
      </w:r>
      <w:r w:rsidR="009426BD">
        <w:rPr>
          <w:sz w:val="24"/>
          <w:szCs w:val="24"/>
        </w:rPr>
        <w:t xml:space="preserve"> and other areas to promote fiscal growth</w:t>
      </w:r>
      <w:r>
        <w:rPr>
          <w:sz w:val="24"/>
          <w:szCs w:val="24"/>
        </w:rPr>
        <w:t xml:space="preserve">. The construction sector will play a pivotal role in the creation of centers for economic growth. </w:t>
      </w:r>
    </w:p>
    <w:p w:rsidR="00E03DCF" w:rsidRPr="00E03DCF" w:rsidRDefault="00297DB5" w:rsidP="00FF3C1B">
      <w:pPr>
        <w:rPr>
          <w:b/>
        </w:rPr>
      </w:pPr>
      <w:r>
        <w:rPr>
          <w:b/>
        </w:rPr>
        <w:t>Health</w:t>
      </w:r>
      <w:r w:rsidR="00E03DCF">
        <w:rPr>
          <w:b/>
        </w:rPr>
        <w:t>care</w:t>
      </w:r>
    </w:p>
    <w:p w:rsidR="00E03DCF" w:rsidRDefault="00FF3C1B" w:rsidP="00E03DCF">
      <w:r w:rsidRPr="002B6B80">
        <w:t>The Healthcare Industry is one of the few</w:t>
      </w:r>
      <w:r w:rsidR="00E03DCF">
        <w:t xml:space="preserve"> employment sectors that has fa</w:t>
      </w:r>
      <w:r w:rsidRPr="002B6B80">
        <w:t xml:space="preserve">red relatively well during the current </w:t>
      </w:r>
      <w:r>
        <w:t>Recession</w:t>
      </w:r>
      <w:r w:rsidRPr="002B6B80">
        <w:t>.  Historically</w:t>
      </w:r>
      <w:r>
        <w:t xml:space="preserve"> the industry,</w:t>
      </w:r>
      <w:r w:rsidRPr="002B6B80">
        <w:t xml:space="preserve"> like education, has been a relatively </w:t>
      </w:r>
      <w:r>
        <w:t>recession-</w:t>
      </w:r>
      <w:r w:rsidRPr="002B6B80">
        <w:t>proof industry due to the inelastic nature of health care</w:t>
      </w:r>
      <w:r w:rsidR="00E03DCF">
        <w:t xml:space="preserve"> demand</w:t>
      </w:r>
      <w:r w:rsidRPr="002B6B80">
        <w:t xml:space="preserve">.  In most cases, if a person needs medical attention they cannot wait for it to become more affordable, or </w:t>
      </w:r>
      <w:r>
        <w:t xml:space="preserve">for </w:t>
      </w:r>
      <w:r w:rsidRPr="002B6B80">
        <w:t xml:space="preserve">their </w:t>
      </w:r>
      <w:r>
        <w:t>medical insurance</w:t>
      </w:r>
      <w:r w:rsidRPr="002B6B80">
        <w:t xml:space="preserve"> to be restored</w:t>
      </w:r>
      <w:r>
        <w:t xml:space="preserve"> so they must find a way to pay for it.  However, in</w:t>
      </w:r>
      <w:r w:rsidRPr="002B6B80">
        <w:t xml:space="preserve"> the long term hospitals and physicians do face the danger of patients forgoing regular checkups</w:t>
      </w:r>
      <w:r>
        <w:t>, skipping prescription refills,</w:t>
      </w:r>
      <w:r w:rsidRPr="002B6B80">
        <w:t xml:space="preserve"> and </w:t>
      </w:r>
      <w:r>
        <w:t xml:space="preserve">waiting to perform </w:t>
      </w:r>
      <w:r w:rsidR="00E03DCF">
        <w:t>non</w:t>
      </w:r>
      <w:r w:rsidRPr="00385E69">
        <w:t>essential</w:t>
      </w:r>
      <w:r w:rsidR="00E03DCF">
        <w:t xml:space="preserve"> medical treatments.</w:t>
      </w:r>
    </w:p>
    <w:p w:rsidR="00FF3C1B" w:rsidRPr="002B6B80" w:rsidRDefault="00FF3C1B" w:rsidP="00297DB5">
      <w:r w:rsidRPr="002B6B80">
        <w:t>The</w:t>
      </w:r>
      <w:r>
        <w:t>se</w:t>
      </w:r>
      <w:r w:rsidRPr="002B6B80">
        <w:t xml:space="preserve"> economic conditions will lead to decreases in revenue for hospitals and private practices, which will most likely result in layoffs, mergers, and acquisitions.  </w:t>
      </w:r>
      <w:r w:rsidR="00297DB5">
        <w:t>L</w:t>
      </w:r>
      <w:r w:rsidRPr="002B6B80">
        <w:t>ayoffs</w:t>
      </w:r>
      <w:r>
        <w:t xml:space="preserve"> throughout the state in other industries </w:t>
      </w:r>
      <w:r w:rsidRPr="002B6B80">
        <w:t>have affected patients</w:t>
      </w:r>
      <w:r w:rsidR="00297DB5">
        <w:t>’</w:t>
      </w:r>
      <w:r w:rsidRPr="002B6B80">
        <w:t>/clients</w:t>
      </w:r>
      <w:r w:rsidR="00297DB5">
        <w:t>’</w:t>
      </w:r>
      <w:r w:rsidRPr="002B6B80">
        <w:t xml:space="preserve"> insurance benefits and coverage</w:t>
      </w:r>
      <w:r>
        <w:t xml:space="preserve">. </w:t>
      </w:r>
      <w:r w:rsidR="00297DB5">
        <w:t>Despite this</w:t>
      </w:r>
      <w:r w:rsidRPr="002B6B80">
        <w:t>, the health care industry has steadily grown over the past decade.  The follow</w:t>
      </w:r>
      <w:r>
        <w:t>ing</w:t>
      </w:r>
      <w:r w:rsidRPr="002B6B80">
        <w:t xml:space="preserve"> chart shows the</w:t>
      </w:r>
      <w:r>
        <w:t xml:space="preserve"> slow but steady increase in a</w:t>
      </w:r>
      <w:r w:rsidRPr="002B6B80">
        <w:t xml:space="preserve">verage </w:t>
      </w:r>
      <w:r>
        <w:t>yearly s</w:t>
      </w:r>
      <w:r w:rsidRPr="002B6B80">
        <w:t>alary and employment numbers for the</w:t>
      </w:r>
      <w:r>
        <w:t xml:space="preserve"> h</w:t>
      </w:r>
      <w:r w:rsidRPr="002B6B80">
        <w:t>ealth</w:t>
      </w:r>
      <w:r>
        <w:t xml:space="preserve"> </w:t>
      </w:r>
      <w:r w:rsidRPr="002B6B80">
        <w:t>care industry in Connecticut.  These numbers include employment in hospitals, ambulatory health care services, and nursing and residential care facilities.</w:t>
      </w:r>
    </w:p>
    <w:p w:rsidR="00FF3C1B" w:rsidRPr="002B6B80" w:rsidRDefault="00FF3C1B" w:rsidP="00FF3C1B">
      <w:pPr>
        <w:ind w:firstLine="720"/>
      </w:pPr>
    </w:p>
    <w:p w:rsidR="00FF3C1B" w:rsidRPr="002B6B80" w:rsidRDefault="00FF3C1B" w:rsidP="00FF3C1B">
      <w:r>
        <w:rPr>
          <w:noProof/>
        </w:rPr>
        <w:lastRenderedPageBreak/>
        <w:drawing>
          <wp:inline distT="0" distB="0" distL="0" distR="0">
            <wp:extent cx="5457604" cy="2996073"/>
            <wp:effectExtent l="12171" t="6084" r="7100" b="2028"/>
            <wp:docPr id="273" name="C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F3C1B" w:rsidRPr="002B6B80" w:rsidRDefault="00FF3C1B" w:rsidP="00FF3C1B"/>
    <w:p w:rsidR="00FF3C1B" w:rsidRPr="002B6B80" w:rsidRDefault="00FF3C1B" w:rsidP="00FF3C1B">
      <w:r w:rsidRPr="002B6B80">
        <w:t>The strength of the health</w:t>
      </w:r>
      <w:r>
        <w:t xml:space="preserve"> </w:t>
      </w:r>
      <w:r w:rsidRPr="002B6B80">
        <w:t xml:space="preserve">care industry over the past </w:t>
      </w:r>
      <w:r>
        <w:t xml:space="preserve">ten years </w:t>
      </w:r>
      <w:r w:rsidRPr="00296EA9">
        <w:t>distinguish</w:t>
      </w:r>
      <w:r>
        <w:t>es it</w:t>
      </w:r>
      <w:r w:rsidRPr="002B6B80">
        <w:t xml:space="preserve"> as a slow but steady growth industry.  </w:t>
      </w:r>
      <w:r>
        <w:t>It</w:t>
      </w:r>
      <w:r w:rsidRPr="002B6B80">
        <w:t xml:space="preserve"> has not been characterized by rapid spikes in growth or ra</w:t>
      </w:r>
      <w:r>
        <w:t>pid patterns of decline</w:t>
      </w:r>
      <w:r w:rsidR="00297DB5">
        <w:t>.</w:t>
      </w:r>
      <w:r w:rsidRPr="002B6B80">
        <w:t xml:space="preserve">  Healthcare is also one of the higher paid industries in the state.  The five highest paying occupations in the healthcare profession are surgeons, OBGYNS, general internist</w:t>
      </w:r>
      <w:r>
        <w:t>s, psychiatrist, and physicians.  All of these professions have annual salaries of well over $150,000.</w:t>
      </w:r>
    </w:p>
    <w:p w:rsidR="00FF3C1B" w:rsidRPr="002B6B80" w:rsidRDefault="00FF3C1B" w:rsidP="00FF3C1B">
      <w:r>
        <w:rPr>
          <w:noProof/>
        </w:rPr>
        <w:drawing>
          <wp:inline distT="0" distB="0" distL="0" distR="0">
            <wp:extent cx="5227578" cy="3025654"/>
            <wp:effectExtent l="12189" t="6091" r="4063" b="1015"/>
            <wp:docPr id="274"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F3C1B" w:rsidRPr="002B6B80" w:rsidRDefault="00FF3C1B" w:rsidP="00FF3C1B"/>
    <w:p w:rsidR="00FF3C1B" w:rsidRDefault="00FF3C1B" w:rsidP="00297DB5">
      <w:pPr>
        <w:rPr>
          <w:rFonts w:ascii="Times" w:hAnsi="Times"/>
          <w:szCs w:val="20"/>
        </w:rPr>
      </w:pPr>
      <w:r w:rsidRPr="002B6B80">
        <w:rPr>
          <w:rFonts w:ascii="Times" w:hAnsi="Times"/>
        </w:rPr>
        <w:lastRenderedPageBreak/>
        <w:t xml:space="preserve">Connecticut currently employs 226,800 people </w:t>
      </w:r>
      <w:r w:rsidR="005A2DFB">
        <w:rPr>
          <w:rFonts w:ascii="Times" w:hAnsi="Times"/>
        </w:rPr>
        <w:t xml:space="preserve">in the healthcare sector </w:t>
      </w:r>
      <w:r w:rsidRPr="002B6B80">
        <w:rPr>
          <w:rFonts w:ascii="Times" w:hAnsi="Times"/>
        </w:rPr>
        <w:t xml:space="preserve">with an average annual salary of $54,300.  </w:t>
      </w:r>
      <w:r w:rsidR="00297DB5">
        <w:rPr>
          <w:rFonts w:ascii="Times" w:hAnsi="Times"/>
        </w:rPr>
        <w:t>T</w:t>
      </w:r>
      <w:r w:rsidRPr="002B6B80">
        <w:rPr>
          <w:rFonts w:ascii="Times" w:hAnsi="Times"/>
        </w:rPr>
        <w:t xml:space="preserve">he following chart breaks down </w:t>
      </w:r>
      <w:r w:rsidR="00297DB5">
        <w:rPr>
          <w:rFonts w:ascii="Times" w:hAnsi="Times"/>
        </w:rPr>
        <w:t xml:space="preserve">earnings in </w:t>
      </w:r>
      <w:r w:rsidRPr="002B6B80">
        <w:rPr>
          <w:rFonts w:ascii="Times" w:hAnsi="Times"/>
        </w:rPr>
        <w:t>the health care industry even f</w:t>
      </w:r>
      <w:r>
        <w:rPr>
          <w:rFonts w:ascii="Times" w:hAnsi="Times"/>
        </w:rPr>
        <w:t>urther by dividing workers into</w:t>
      </w:r>
      <w:r w:rsidRPr="002B6B80">
        <w:rPr>
          <w:rFonts w:ascii="Times" w:hAnsi="Times"/>
        </w:rPr>
        <w:t xml:space="preserve"> </w:t>
      </w:r>
      <w:r w:rsidRPr="002B6B80">
        <w:rPr>
          <w:rFonts w:ascii="Times" w:hAnsi="Times"/>
          <w:szCs w:val="20"/>
        </w:rPr>
        <w:t>Healthcare Practitio</w:t>
      </w:r>
      <w:r>
        <w:rPr>
          <w:rFonts w:ascii="Times" w:hAnsi="Times"/>
          <w:szCs w:val="20"/>
        </w:rPr>
        <w:t xml:space="preserve">ners and Technical Occupations </w:t>
      </w:r>
      <w:r w:rsidRPr="002B6B80">
        <w:rPr>
          <w:rFonts w:ascii="Times" w:hAnsi="Times"/>
          <w:szCs w:val="20"/>
        </w:rPr>
        <w:t>and He</w:t>
      </w:r>
      <w:r w:rsidR="00297DB5">
        <w:rPr>
          <w:rFonts w:ascii="Times" w:hAnsi="Times"/>
          <w:szCs w:val="20"/>
        </w:rPr>
        <w:t>althcare Support Operation.</w:t>
      </w:r>
    </w:p>
    <w:p w:rsidR="00FF3C1B" w:rsidRPr="002B6B80" w:rsidRDefault="00FF3C1B" w:rsidP="00FF3C1B">
      <w:pPr>
        <w:ind w:firstLine="720"/>
        <w:rPr>
          <w:rFonts w:ascii="Times" w:hAnsi="Times"/>
        </w:rPr>
      </w:pPr>
    </w:p>
    <w:p w:rsidR="00FF3C1B" w:rsidRDefault="00FF3C1B" w:rsidP="00FF3C1B">
      <w:r>
        <w:rPr>
          <w:noProof/>
        </w:rPr>
        <w:drawing>
          <wp:inline distT="0" distB="0" distL="0" distR="0">
            <wp:extent cx="5457604" cy="2947675"/>
            <wp:effectExtent l="12171" t="6093" r="7100" b="4062"/>
            <wp:docPr id="275"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F3C1B" w:rsidRDefault="00FF3C1B" w:rsidP="00FF3C1B"/>
    <w:p w:rsidR="00FF3C1B" w:rsidRDefault="00FF3C1B" w:rsidP="00FF3C1B">
      <w:r>
        <w:t xml:space="preserve">The impact of the health care industry on the state of Connecticut’s economy is significant.  Of the top 20 employers in the state, five are part of the health care industry: Hartford Hospital (6,000 workers), U Conn Health (6000 workers), Yale New Haven Psychiatry &amp; Yale New Haven Health (6000 workers), Danbury Hospital (4,000 workers), and St. Francis Medical (3000 workers).   In total, 25,000, or 11% of all health care workers are employed by these major health care facilities.  </w:t>
      </w:r>
      <w:r w:rsidR="005A2DFB">
        <w:t>T</w:t>
      </w:r>
      <w:r>
        <w:t xml:space="preserve">he size and significance of the health care industry in this state </w:t>
      </w:r>
      <w:r w:rsidR="005A2DFB">
        <w:t>is partly a</w:t>
      </w:r>
      <w:r>
        <w:t xml:space="preserve"> result of the aging demographics of the stat</w:t>
      </w:r>
      <w:r w:rsidR="005A2DFB">
        <w:t>e</w:t>
      </w:r>
      <w:r>
        <w:t>.</w:t>
      </w:r>
    </w:p>
    <w:p w:rsidR="00FF3C1B" w:rsidRDefault="00FF3C1B" w:rsidP="00FF3C1B">
      <w:r>
        <w:t xml:space="preserve">Nationwide the employment rate is at one of the highest levels in modern history, and yet </w:t>
      </w:r>
      <w:r w:rsidR="005A2DFB">
        <w:t xml:space="preserve">demand for certain </w:t>
      </w:r>
      <w:r>
        <w:t xml:space="preserve">health care industry </w:t>
      </w:r>
      <w:r w:rsidR="005A2DFB">
        <w:t xml:space="preserve">employees is still strong. </w:t>
      </w:r>
      <w:r>
        <w:t xml:space="preserve"> Registered Nurses are the most sought after workers, and Licensed Professional Nurses are in high demand as well.  Pharmacists, and medical technicians are also in high demand.  These job openings create opportunities for currently unemployed individuals to be trained to fulfill these open positions.  </w:t>
      </w:r>
      <w:r w:rsidR="005A2DFB">
        <w:t xml:space="preserve">A proportion of </w:t>
      </w:r>
      <w:r>
        <w:t>structural unemployment can be easily eradicated if training can be completed efficiently and newly trained individuals can be quickly matched to the openings</w:t>
      </w:r>
      <w:r w:rsidR="005A2DFB">
        <w:t xml:space="preserve"> in this field</w:t>
      </w:r>
      <w:r>
        <w:t>.</w:t>
      </w:r>
    </w:p>
    <w:p w:rsidR="00FF3C1B" w:rsidRDefault="00FF3C1B" w:rsidP="00FF3C1B">
      <w:pPr>
        <w:rPr>
          <w:u w:val="single"/>
        </w:rPr>
      </w:pPr>
      <w:r w:rsidRPr="00101305">
        <w:rPr>
          <w:u w:val="single"/>
        </w:rPr>
        <w:t>References:</w:t>
      </w:r>
    </w:p>
    <w:p w:rsidR="00FF3C1B" w:rsidRPr="00502C6C" w:rsidRDefault="00FF3C1B" w:rsidP="00FF3C1B">
      <w:r>
        <w:t>Connecticut:</w:t>
      </w:r>
    </w:p>
    <w:p w:rsidR="00FF3C1B" w:rsidRDefault="007B6F1C" w:rsidP="00FF3C1B">
      <w:hyperlink r:id="rId12" w:history="1">
        <w:r w:rsidR="00FF3C1B" w:rsidRPr="00B558FB">
          <w:rPr>
            <w:rStyle w:val="Hyperlink"/>
          </w:rPr>
          <w:t>http://www.ctdol.state.ct.us/lmi/ct_healthcare_occs.pdf</w:t>
        </w:r>
      </w:hyperlink>
    </w:p>
    <w:p w:rsidR="00FF3C1B" w:rsidRDefault="007B6F1C" w:rsidP="00FF3C1B">
      <w:hyperlink r:id="rId13" w:history="1">
        <w:r w:rsidR="00FF3C1B" w:rsidRPr="00B558FB">
          <w:rPr>
            <w:rStyle w:val="Hyperlink"/>
          </w:rPr>
          <w:t>http://www.ctdol.state.ct.us/lmi/industries.htm</w:t>
        </w:r>
      </w:hyperlink>
    </w:p>
    <w:p w:rsidR="00FF3C1B" w:rsidRDefault="00FF3C1B" w:rsidP="00FF3C1B">
      <w:r>
        <w:t>New Jersey:</w:t>
      </w:r>
    </w:p>
    <w:p w:rsidR="00FF3C1B" w:rsidRDefault="007B6F1C" w:rsidP="00FF3C1B">
      <w:hyperlink r:id="rId14" w:history="1">
        <w:r w:rsidR="00FF3C1B" w:rsidRPr="00B558FB">
          <w:rPr>
            <w:rStyle w:val="Hyperlink"/>
          </w:rPr>
          <w:t>http://lwd.state.nj.us/lpaapp/app?</w:t>
        </w:r>
      </w:hyperlink>
      <w:r w:rsidR="00EC249A">
        <w:t xml:space="preserve"> </w:t>
      </w:r>
    </w:p>
    <w:p w:rsidR="00FF3C1B" w:rsidRDefault="00FF3C1B" w:rsidP="00FF3C1B">
      <w:r>
        <w:t>Massachusetts</w:t>
      </w:r>
      <w:r w:rsidR="00EC249A">
        <w:t>:</w:t>
      </w:r>
    </w:p>
    <w:p w:rsidR="00FF3C1B" w:rsidRPr="002B6B80" w:rsidRDefault="007B6F1C" w:rsidP="00FF3C1B">
      <w:hyperlink r:id="rId15" w:history="1">
        <w:r w:rsidR="00EC249A" w:rsidRPr="008D0306">
          <w:rPr>
            <w:rStyle w:val="Hyperlink"/>
          </w:rPr>
          <w:t>http://www.mass.gov/</w:t>
        </w:r>
      </w:hyperlink>
      <w:r w:rsidR="00FF3C1B">
        <w:t xml:space="preserve"> </w:t>
      </w:r>
    </w:p>
    <w:p w:rsidR="00C0355A" w:rsidRDefault="00C0355A" w:rsidP="004A128E">
      <w:pPr>
        <w:spacing w:after="120"/>
        <w:rPr>
          <w:sz w:val="24"/>
          <w:szCs w:val="24"/>
        </w:rPr>
      </w:pPr>
      <w:r>
        <w:rPr>
          <w:b/>
          <w:sz w:val="24"/>
          <w:szCs w:val="24"/>
        </w:rPr>
        <w:t>Finance and Insurance</w:t>
      </w:r>
    </w:p>
    <w:p w:rsidR="00E530A3" w:rsidRPr="00E530A3" w:rsidRDefault="00E530A3" w:rsidP="004A128E">
      <w:pPr>
        <w:spacing w:after="120"/>
        <w:rPr>
          <w:sz w:val="24"/>
          <w:szCs w:val="24"/>
        </w:rPr>
      </w:pPr>
      <w:r>
        <w:rPr>
          <w:sz w:val="24"/>
          <w:szCs w:val="24"/>
        </w:rPr>
        <w:t>The insurance industry is critical to the economic well-being of the State.  Historically, the city of Hartford has been dependent on the insurance sector for a significant component of total employment.  Important insurance carriers</w:t>
      </w:r>
      <w:r w:rsidR="00EB7394">
        <w:rPr>
          <w:sz w:val="24"/>
          <w:szCs w:val="24"/>
        </w:rPr>
        <w:t xml:space="preserve">, those will annual turnover of greater than $2 billion, </w:t>
      </w:r>
      <w:r>
        <w:rPr>
          <w:sz w:val="24"/>
          <w:szCs w:val="24"/>
        </w:rPr>
        <w:t xml:space="preserve"> include </w:t>
      </w:r>
      <w:r>
        <w:rPr>
          <w:i/>
          <w:sz w:val="24"/>
          <w:szCs w:val="24"/>
        </w:rPr>
        <w:t>Hartford Financial Services Corporation</w:t>
      </w:r>
      <w:r>
        <w:rPr>
          <w:sz w:val="24"/>
          <w:szCs w:val="24"/>
        </w:rPr>
        <w:t xml:space="preserve">, </w:t>
      </w:r>
      <w:r>
        <w:rPr>
          <w:i/>
          <w:sz w:val="24"/>
          <w:szCs w:val="24"/>
        </w:rPr>
        <w:t>Aetna,Inc.</w:t>
      </w:r>
      <w:r>
        <w:rPr>
          <w:sz w:val="24"/>
          <w:szCs w:val="24"/>
        </w:rPr>
        <w:t xml:space="preserve">, </w:t>
      </w:r>
      <w:r>
        <w:rPr>
          <w:i/>
          <w:sz w:val="24"/>
          <w:szCs w:val="24"/>
        </w:rPr>
        <w:t>W.R. Berkley Corporation</w:t>
      </w:r>
      <w:r>
        <w:rPr>
          <w:sz w:val="24"/>
          <w:szCs w:val="24"/>
        </w:rPr>
        <w:t xml:space="preserve">, the </w:t>
      </w:r>
      <w:r>
        <w:rPr>
          <w:i/>
          <w:sz w:val="24"/>
          <w:szCs w:val="24"/>
        </w:rPr>
        <w:t>Phoenix Companies, Inc.</w:t>
      </w:r>
      <w:r>
        <w:rPr>
          <w:sz w:val="24"/>
          <w:szCs w:val="24"/>
        </w:rPr>
        <w:t xml:space="preserve">, and </w:t>
      </w:r>
      <w:r>
        <w:rPr>
          <w:i/>
          <w:sz w:val="24"/>
          <w:szCs w:val="24"/>
        </w:rPr>
        <w:t>Odyssey Re Holdings Corporation</w:t>
      </w:r>
      <w:r>
        <w:rPr>
          <w:sz w:val="24"/>
          <w:szCs w:val="24"/>
        </w:rPr>
        <w:t xml:space="preserve">.  </w:t>
      </w:r>
      <w:r w:rsidR="00EB7394">
        <w:rPr>
          <w:sz w:val="24"/>
          <w:szCs w:val="24"/>
        </w:rPr>
        <w:t>Overall, the State reported having 17 life insurance companies, 11 accident and health insurers, 26 fire, marine and casualt</w:t>
      </w:r>
      <w:r w:rsidR="00392319">
        <w:rPr>
          <w:sz w:val="24"/>
          <w:szCs w:val="24"/>
        </w:rPr>
        <w:t>y</w:t>
      </w:r>
      <w:r w:rsidR="00EB7394">
        <w:rPr>
          <w:sz w:val="24"/>
          <w:szCs w:val="24"/>
        </w:rPr>
        <w:t xml:space="preserve"> insurance providers, and 8 reinsurance firm</w:t>
      </w:r>
      <w:r w:rsidR="00392319">
        <w:rPr>
          <w:sz w:val="24"/>
          <w:szCs w:val="24"/>
        </w:rPr>
        <w:t>s</w:t>
      </w:r>
      <w:r w:rsidR="00EB7394">
        <w:rPr>
          <w:sz w:val="24"/>
          <w:szCs w:val="24"/>
        </w:rPr>
        <w:t>.</w:t>
      </w:r>
      <w:r w:rsidR="00392319">
        <w:rPr>
          <w:sz w:val="24"/>
          <w:szCs w:val="24"/>
        </w:rPr>
        <w:t xml:space="preserve">  Although the importance of this sector, in terms of contribution to state GSP and employment, has declined over the past two decades it remains critical to the economic health of the State.</w:t>
      </w:r>
    </w:p>
    <w:p w:rsidR="00E530A3" w:rsidRDefault="00324969" w:rsidP="004A128E">
      <w:pPr>
        <w:spacing w:after="120"/>
        <w:rPr>
          <w:sz w:val="24"/>
          <w:szCs w:val="24"/>
        </w:rPr>
      </w:pPr>
      <w:r>
        <w:rPr>
          <w:sz w:val="24"/>
          <w:szCs w:val="24"/>
        </w:rPr>
        <w:t xml:space="preserve">The Connecticut banking industry is comprised of numerous large, out-of-state institutions, as well as a small number of largely intrastate institutions.  The largest in-state institution (measured by assets) is Webster Bank, headquartered in Waterbury, followed by People’s Bank of Bridgeport.  Webster’s total assets exceeded $17.8 billion in 2008, while People’s assets were just over $11 billion. </w:t>
      </w:r>
      <w:r w:rsidR="00392319">
        <w:rPr>
          <w:sz w:val="24"/>
          <w:szCs w:val="24"/>
        </w:rPr>
        <w:t xml:space="preserve">None of these institutions is a significant force in cross-state banking, but all contribute significantly to the sector within Connecticut </w:t>
      </w:r>
    </w:p>
    <w:p w:rsidR="00C0355A" w:rsidRDefault="00C0355A" w:rsidP="004A128E">
      <w:pPr>
        <w:spacing w:after="120"/>
        <w:rPr>
          <w:sz w:val="24"/>
          <w:szCs w:val="24"/>
        </w:rPr>
      </w:pPr>
      <w:r>
        <w:rPr>
          <w:sz w:val="24"/>
          <w:szCs w:val="24"/>
        </w:rPr>
        <w:t xml:space="preserve">Connecticut Department of Labor statistics demonstrate both the importance of this sector to total state employment, and the stress that this sector has been under during the recent downturn.  In December of 2008, over 121,000 persons were employed in the finance and insurance sector, approximately 7.3% of total state employment.  </w:t>
      </w:r>
      <w:r w:rsidR="00041376">
        <w:rPr>
          <w:sz w:val="24"/>
          <w:szCs w:val="24"/>
        </w:rPr>
        <w:t xml:space="preserve">By December of 2009, employment had fallen to 118,000 (still essentially 7.3% of a now diminished active labor force).  </w:t>
      </w:r>
      <w:r w:rsidR="00D8391D">
        <w:rPr>
          <w:sz w:val="24"/>
          <w:szCs w:val="24"/>
        </w:rPr>
        <w:t>Average weekly hours per employee have not been suppressed, however, rising from 35.6/ week in December of 2008 to 36.9 hours/week in November of 2009 (the last month for which data is available).  Average weekly wages were $1536.9 in November of 2009, an increase over prior monthly observations (monthly wages vary widely, increasing</w:t>
      </w:r>
      <w:r w:rsidR="00E530A3">
        <w:rPr>
          <w:sz w:val="24"/>
          <w:szCs w:val="24"/>
        </w:rPr>
        <w:t xml:space="preserve">, for instance, during </w:t>
      </w:r>
      <w:r w:rsidR="00D8391D">
        <w:rPr>
          <w:sz w:val="24"/>
          <w:szCs w:val="24"/>
        </w:rPr>
        <w:t>income tax season).  This can be compared to an overall average weekly wage of $935/week for all private workers in the State.  The increase in weekly hours suggests there may be some pent-up demand for additional employees as the recession eases.</w:t>
      </w:r>
    </w:p>
    <w:p w:rsidR="00E530A3" w:rsidRDefault="00392319" w:rsidP="004A128E">
      <w:pPr>
        <w:spacing w:after="120"/>
        <w:rPr>
          <w:sz w:val="24"/>
          <w:szCs w:val="24"/>
        </w:rPr>
      </w:pPr>
      <w:r>
        <w:rPr>
          <w:b/>
          <w:sz w:val="24"/>
          <w:szCs w:val="24"/>
        </w:rPr>
        <w:t>The Manufacturing Sector</w:t>
      </w:r>
    </w:p>
    <w:p w:rsidR="00392319" w:rsidRPr="00392319" w:rsidRDefault="003C6E97" w:rsidP="004A128E">
      <w:pPr>
        <w:spacing w:after="120"/>
        <w:rPr>
          <w:sz w:val="24"/>
          <w:szCs w:val="24"/>
        </w:rPr>
      </w:pPr>
      <w:r>
        <w:rPr>
          <w:sz w:val="24"/>
          <w:szCs w:val="24"/>
        </w:rPr>
        <w:lastRenderedPageBreak/>
        <w:t xml:space="preserve">Like most northeastern states, manufacturing in Connecticut has been on a long slow decline since the 1980s.  Employment in this component of the economy was 185,000 in December of 2008, just over 11 percent of the total labor force.  The economic downturn reduced employment to just 169,000 in December 2009, a drop of 8.5%.  Even with this reduction in the number of employees, the industry has experienced a drop in the average workweek, from a peak of nearly 42 hours in November 2007, to 39.9 hours in November of 2009.  Average weekly earnings </w:t>
      </w:r>
      <w:r w:rsidR="00BA7A87">
        <w:rPr>
          <w:sz w:val="24"/>
          <w:szCs w:val="24"/>
        </w:rPr>
        <w:t>peaked at $1212 in June of 2008, and have since fallen to just $1165</w:t>
      </w:r>
      <w:r w:rsidR="00EC249A">
        <w:rPr>
          <w:sz w:val="24"/>
          <w:szCs w:val="24"/>
        </w:rPr>
        <w:t xml:space="preserve"> (CT DOL)</w:t>
      </w:r>
      <w:r w:rsidR="00BA7A87">
        <w:rPr>
          <w:sz w:val="24"/>
          <w:szCs w:val="24"/>
        </w:rPr>
        <w:t>.  The reduction in average weekly earnings in what is one of the higher paying sectors in the State inevitably spills over into the rest of the economy.</w:t>
      </w:r>
    </w:p>
    <w:p w:rsidR="00C0355A" w:rsidRDefault="00672C42" w:rsidP="004A128E">
      <w:pPr>
        <w:spacing w:after="120"/>
        <w:rPr>
          <w:sz w:val="24"/>
          <w:szCs w:val="24"/>
        </w:rPr>
      </w:pPr>
      <w:r>
        <w:rPr>
          <w:sz w:val="24"/>
          <w:szCs w:val="24"/>
        </w:rPr>
        <w:t>The State remains dependent on defense spending, with many of the major manufacturing employers fortunes tied directly into the level of federal outlays.  Ranked by 2006 sales, the 10 largest manufacturing firms in the State are detailed below:</w:t>
      </w:r>
    </w:p>
    <w:p w:rsidR="00672C42" w:rsidRDefault="00672C42" w:rsidP="004A128E">
      <w:pPr>
        <w:spacing w:after="120"/>
        <w:rPr>
          <w:sz w:val="24"/>
          <w:szCs w:val="24"/>
        </w:rPr>
      </w:pPr>
    </w:p>
    <w:p w:rsidR="00672C42" w:rsidRDefault="00672C42" w:rsidP="004A128E">
      <w:pPr>
        <w:spacing w:after="120"/>
        <w:rPr>
          <w:sz w:val="24"/>
          <w:szCs w:val="24"/>
        </w:rPr>
      </w:pPr>
    </w:p>
    <w:tbl>
      <w:tblPr>
        <w:tblStyle w:val="TableGrid"/>
        <w:tblW w:w="0" w:type="auto"/>
        <w:tblLook w:val="04A0"/>
      </w:tblPr>
      <w:tblGrid>
        <w:gridCol w:w="1915"/>
        <w:gridCol w:w="1915"/>
        <w:gridCol w:w="1915"/>
        <w:gridCol w:w="1915"/>
      </w:tblGrid>
      <w:tr w:rsidR="00672C42" w:rsidTr="00672C42">
        <w:tc>
          <w:tcPr>
            <w:tcW w:w="1915" w:type="dxa"/>
          </w:tcPr>
          <w:p w:rsidR="00672C42" w:rsidRDefault="00672C42" w:rsidP="004A128E">
            <w:pPr>
              <w:spacing w:after="120"/>
            </w:pPr>
            <w:r>
              <w:t>Firm</w:t>
            </w:r>
          </w:p>
        </w:tc>
        <w:tc>
          <w:tcPr>
            <w:tcW w:w="1915" w:type="dxa"/>
          </w:tcPr>
          <w:p w:rsidR="00672C42" w:rsidRDefault="00672C42" w:rsidP="004A128E">
            <w:pPr>
              <w:spacing w:after="120"/>
            </w:pPr>
            <w:r>
              <w:t>Sales (2006), millions</w:t>
            </w:r>
          </w:p>
        </w:tc>
        <w:tc>
          <w:tcPr>
            <w:tcW w:w="1915" w:type="dxa"/>
          </w:tcPr>
          <w:p w:rsidR="00672C42" w:rsidRDefault="00672C42" w:rsidP="004A128E">
            <w:pPr>
              <w:spacing w:after="120"/>
            </w:pPr>
            <w:r>
              <w:t>Sector(s)</w:t>
            </w:r>
          </w:p>
        </w:tc>
        <w:tc>
          <w:tcPr>
            <w:tcW w:w="1915" w:type="dxa"/>
          </w:tcPr>
          <w:p w:rsidR="00405954" w:rsidRDefault="00405954" w:rsidP="004A128E">
            <w:pPr>
              <w:spacing w:after="120"/>
            </w:pPr>
            <w:r>
              <w:t>Corporate</w:t>
            </w:r>
          </w:p>
          <w:p w:rsidR="00672C42" w:rsidRDefault="00672C42" w:rsidP="004A128E">
            <w:pPr>
              <w:spacing w:after="120"/>
            </w:pPr>
            <w:r>
              <w:t>Location</w:t>
            </w:r>
          </w:p>
        </w:tc>
      </w:tr>
      <w:tr w:rsidR="00672C42" w:rsidTr="00672C42">
        <w:tc>
          <w:tcPr>
            <w:tcW w:w="1915" w:type="dxa"/>
          </w:tcPr>
          <w:p w:rsidR="00672C42" w:rsidRDefault="00672C42" w:rsidP="004A128E">
            <w:pPr>
              <w:spacing w:after="120"/>
            </w:pPr>
            <w:r>
              <w:t>General Electric</w:t>
            </w:r>
          </w:p>
        </w:tc>
        <w:tc>
          <w:tcPr>
            <w:tcW w:w="1915" w:type="dxa"/>
          </w:tcPr>
          <w:p w:rsidR="00672C42" w:rsidRDefault="00672C42" w:rsidP="004A128E">
            <w:pPr>
              <w:spacing w:after="120"/>
            </w:pPr>
            <w:r>
              <w:t>$151,320</w:t>
            </w:r>
          </w:p>
        </w:tc>
        <w:tc>
          <w:tcPr>
            <w:tcW w:w="1915" w:type="dxa"/>
          </w:tcPr>
          <w:p w:rsidR="00672C42" w:rsidRDefault="00672C42" w:rsidP="004A128E">
            <w:pPr>
              <w:spacing w:after="120"/>
            </w:pPr>
            <w:r>
              <w:t>Diversified manufacturing</w:t>
            </w:r>
          </w:p>
        </w:tc>
        <w:tc>
          <w:tcPr>
            <w:tcW w:w="1915" w:type="dxa"/>
          </w:tcPr>
          <w:p w:rsidR="00672C42" w:rsidRDefault="00672C42" w:rsidP="004A128E">
            <w:pPr>
              <w:spacing w:after="120"/>
            </w:pPr>
            <w:r>
              <w:t>Fairfield</w:t>
            </w:r>
          </w:p>
        </w:tc>
      </w:tr>
      <w:tr w:rsidR="00672C42" w:rsidTr="00672C42">
        <w:tc>
          <w:tcPr>
            <w:tcW w:w="1915" w:type="dxa"/>
          </w:tcPr>
          <w:p w:rsidR="00672C42" w:rsidRDefault="00672C42" w:rsidP="004A128E">
            <w:pPr>
              <w:spacing w:after="120"/>
            </w:pPr>
            <w:r>
              <w:t>United Technologies</w:t>
            </w:r>
          </w:p>
        </w:tc>
        <w:tc>
          <w:tcPr>
            <w:tcW w:w="1915" w:type="dxa"/>
          </w:tcPr>
          <w:p w:rsidR="00672C42" w:rsidRDefault="00672C42" w:rsidP="00672C42">
            <w:pPr>
              <w:tabs>
                <w:tab w:val="left" w:pos="1322"/>
              </w:tabs>
              <w:spacing w:after="120"/>
            </w:pPr>
            <w:r>
              <w:t>$  36,760</w:t>
            </w:r>
          </w:p>
        </w:tc>
        <w:tc>
          <w:tcPr>
            <w:tcW w:w="1915" w:type="dxa"/>
          </w:tcPr>
          <w:p w:rsidR="00672C42" w:rsidRDefault="00672C42" w:rsidP="004A128E">
            <w:pPr>
              <w:spacing w:after="120"/>
            </w:pPr>
            <w:r>
              <w:t>Aerospace, defense, building materials</w:t>
            </w:r>
          </w:p>
        </w:tc>
        <w:tc>
          <w:tcPr>
            <w:tcW w:w="1915" w:type="dxa"/>
          </w:tcPr>
          <w:p w:rsidR="00672C42" w:rsidRDefault="00672C42" w:rsidP="004A128E">
            <w:pPr>
              <w:spacing w:after="120"/>
            </w:pPr>
            <w:r>
              <w:t>Hartford</w:t>
            </w:r>
          </w:p>
        </w:tc>
      </w:tr>
      <w:tr w:rsidR="00672C42" w:rsidTr="00672C42">
        <w:tc>
          <w:tcPr>
            <w:tcW w:w="1915" w:type="dxa"/>
          </w:tcPr>
          <w:p w:rsidR="00672C42" w:rsidRDefault="00672C42" w:rsidP="004A128E">
            <w:pPr>
              <w:spacing w:after="120"/>
            </w:pPr>
            <w:r>
              <w:t>International Paper</w:t>
            </w:r>
          </w:p>
        </w:tc>
        <w:tc>
          <w:tcPr>
            <w:tcW w:w="1915" w:type="dxa"/>
          </w:tcPr>
          <w:p w:rsidR="00672C42" w:rsidRDefault="00672C42" w:rsidP="004A128E">
            <w:pPr>
              <w:spacing w:after="120"/>
            </w:pPr>
            <w:r>
              <w:t>$  25,548</w:t>
            </w:r>
          </w:p>
        </w:tc>
        <w:tc>
          <w:tcPr>
            <w:tcW w:w="1915" w:type="dxa"/>
          </w:tcPr>
          <w:p w:rsidR="00672C42" w:rsidRDefault="00672C42" w:rsidP="004A128E">
            <w:pPr>
              <w:spacing w:after="120"/>
            </w:pPr>
            <w:r>
              <w:t>Paper, packaging</w:t>
            </w:r>
          </w:p>
        </w:tc>
        <w:tc>
          <w:tcPr>
            <w:tcW w:w="1915" w:type="dxa"/>
          </w:tcPr>
          <w:p w:rsidR="00672C42" w:rsidRDefault="00672C42" w:rsidP="004A128E">
            <w:pPr>
              <w:spacing w:after="120"/>
            </w:pPr>
            <w:r>
              <w:t>Stamford</w:t>
            </w:r>
          </w:p>
        </w:tc>
      </w:tr>
      <w:tr w:rsidR="00672C42" w:rsidTr="00672C42">
        <w:tc>
          <w:tcPr>
            <w:tcW w:w="1915" w:type="dxa"/>
          </w:tcPr>
          <w:p w:rsidR="00672C42" w:rsidRDefault="00672C42" w:rsidP="004A128E">
            <w:pPr>
              <w:spacing w:after="120"/>
            </w:pPr>
            <w:r>
              <w:t>Xerox</w:t>
            </w:r>
          </w:p>
        </w:tc>
        <w:tc>
          <w:tcPr>
            <w:tcW w:w="1915" w:type="dxa"/>
          </w:tcPr>
          <w:p w:rsidR="00672C42" w:rsidRDefault="00672C42" w:rsidP="004A128E">
            <w:pPr>
              <w:spacing w:after="120"/>
            </w:pPr>
            <w:r>
              <w:t>$  14,788</w:t>
            </w:r>
          </w:p>
        </w:tc>
        <w:tc>
          <w:tcPr>
            <w:tcW w:w="1915" w:type="dxa"/>
          </w:tcPr>
          <w:p w:rsidR="00672C42" w:rsidRDefault="00672C42" w:rsidP="004A128E">
            <w:pPr>
              <w:spacing w:after="120"/>
            </w:pPr>
            <w:r>
              <w:t>Copiers and Office Systems</w:t>
            </w:r>
          </w:p>
        </w:tc>
        <w:tc>
          <w:tcPr>
            <w:tcW w:w="1915" w:type="dxa"/>
          </w:tcPr>
          <w:p w:rsidR="00672C42" w:rsidRDefault="00672C42" w:rsidP="004A128E">
            <w:pPr>
              <w:spacing w:after="120"/>
            </w:pPr>
            <w:r>
              <w:t>Stamford</w:t>
            </w:r>
          </w:p>
        </w:tc>
      </w:tr>
      <w:tr w:rsidR="00672C42" w:rsidTr="00672C42">
        <w:tc>
          <w:tcPr>
            <w:tcW w:w="1915" w:type="dxa"/>
          </w:tcPr>
          <w:p w:rsidR="00672C42" w:rsidRDefault="00672C42" w:rsidP="004A128E">
            <w:pPr>
              <w:spacing w:after="120"/>
            </w:pPr>
            <w:r>
              <w:t>Gerald Metals</w:t>
            </w:r>
          </w:p>
        </w:tc>
        <w:tc>
          <w:tcPr>
            <w:tcW w:w="1915" w:type="dxa"/>
          </w:tcPr>
          <w:p w:rsidR="00672C42" w:rsidRDefault="00672C42" w:rsidP="004A128E">
            <w:pPr>
              <w:spacing w:after="120"/>
            </w:pPr>
            <w:r>
              <w:t>$    9,300</w:t>
            </w:r>
          </w:p>
        </w:tc>
        <w:tc>
          <w:tcPr>
            <w:tcW w:w="1915" w:type="dxa"/>
          </w:tcPr>
          <w:p w:rsidR="00672C42" w:rsidRDefault="00672C42" w:rsidP="004A128E">
            <w:pPr>
              <w:spacing w:after="120"/>
            </w:pPr>
            <w:r>
              <w:t>Non-ferrous, precious metals</w:t>
            </w:r>
          </w:p>
        </w:tc>
        <w:tc>
          <w:tcPr>
            <w:tcW w:w="1915" w:type="dxa"/>
          </w:tcPr>
          <w:p w:rsidR="00672C42" w:rsidRDefault="00405954" w:rsidP="004A128E">
            <w:pPr>
              <w:spacing w:after="120"/>
            </w:pPr>
            <w:r>
              <w:t>Stamford</w:t>
            </w:r>
          </w:p>
        </w:tc>
      </w:tr>
      <w:tr w:rsidR="00672C42" w:rsidTr="00672C42">
        <w:tc>
          <w:tcPr>
            <w:tcW w:w="1915" w:type="dxa"/>
          </w:tcPr>
          <w:p w:rsidR="00672C42" w:rsidRDefault="00405954" w:rsidP="004A128E">
            <w:pPr>
              <w:spacing w:after="120"/>
            </w:pPr>
            <w:r>
              <w:t>MeadWestvaco</w:t>
            </w:r>
          </w:p>
        </w:tc>
        <w:tc>
          <w:tcPr>
            <w:tcW w:w="1915" w:type="dxa"/>
          </w:tcPr>
          <w:p w:rsidR="00672C42" w:rsidRDefault="00405954" w:rsidP="004A128E">
            <w:pPr>
              <w:spacing w:after="120"/>
            </w:pPr>
            <w:r>
              <w:t>$    8,227</w:t>
            </w:r>
          </w:p>
        </w:tc>
        <w:tc>
          <w:tcPr>
            <w:tcW w:w="1915" w:type="dxa"/>
          </w:tcPr>
          <w:p w:rsidR="00672C42" w:rsidRDefault="00405954" w:rsidP="004A128E">
            <w:pPr>
              <w:spacing w:after="120"/>
            </w:pPr>
            <w:r>
              <w:t>Paper, packaging</w:t>
            </w:r>
          </w:p>
        </w:tc>
        <w:tc>
          <w:tcPr>
            <w:tcW w:w="1915" w:type="dxa"/>
          </w:tcPr>
          <w:p w:rsidR="00672C42" w:rsidRDefault="00405954" w:rsidP="004A128E">
            <w:pPr>
              <w:spacing w:after="120"/>
            </w:pPr>
            <w:r>
              <w:t>Stamford</w:t>
            </w:r>
          </w:p>
        </w:tc>
      </w:tr>
      <w:tr w:rsidR="00672C42" w:rsidTr="00672C42">
        <w:tc>
          <w:tcPr>
            <w:tcW w:w="1915" w:type="dxa"/>
          </w:tcPr>
          <w:p w:rsidR="00672C42" w:rsidRDefault="00405954" w:rsidP="004A128E">
            <w:pPr>
              <w:spacing w:after="120"/>
            </w:pPr>
            <w:r>
              <w:t>Praxair</w:t>
            </w:r>
          </w:p>
        </w:tc>
        <w:tc>
          <w:tcPr>
            <w:tcW w:w="1915" w:type="dxa"/>
          </w:tcPr>
          <w:p w:rsidR="00672C42" w:rsidRDefault="00405954" w:rsidP="004A128E">
            <w:pPr>
              <w:spacing w:after="120"/>
            </w:pPr>
            <w:r>
              <w:t>$    6,594</w:t>
            </w:r>
          </w:p>
        </w:tc>
        <w:tc>
          <w:tcPr>
            <w:tcW w:w="1915" w:type="dxa"/>
          </w:tcPr>
          <w:p w:rsidR="00672C42" w:rsidRDefault="00405954" w:rsidP="004A128E">
            <w:pPr>
              <w:spacing w:after="120"/>
            </w:pPr>
            <w:r>
              <w:t>Industrial Gases</w:t>
            </w:r>
          </w:p>
        </w:tc>
        <w:tc>
          <w:tcPr>
            <w:tcW w:w="1915" w:type="dxa"/>
          </w:tcPr>
          <w:p w:rsidR="00672C42" w:rsidRDefault="00405954" w:rsidP="004A128E">
            <w:pPr>
              <w:spacing w:after="120"/>
            </w:pPr>
            <w:r>
              <w:t>Danbury</w:t>
            </w:r>
          </w:p>
        </w:tc>
      </w:tr>
      <w:tr w:rsidR="00672C42" w:rsidTr="00672C42">
        <w:tc>
          <w:tcPr>
            <w:tcW w:w="1915" w:type="dxa"/>
          </w:tcPr>
          <w:p w:rsidR="00672C42" w:rsidRDefault="00405954" w:rsidP="004A128E">
            <w:pPr>
              <w:spacing w:after="120"/>
            </w:pPr>
            <w:r>
              <w:t>Pitney Bowes</w:t>
            </w:r>
          </w:p>
        </w:tc>
        <w:tc>
          <w:tcPr>
            <w:tcW w:w="1915" w:type="dxa"/>
          </w:tcPr>
          <w:p w:rsidR="00672C42" w:rsidRDefault="00405954" w:rsidP="004A128E">
            <w:pPr>
              <w:spacing w:after="120"/>
            </w:pPr>
            <w:r>
              <w:t>$    4.957</w:t>
            </w:r>
          </w:p>
        </w:tc>
        <w:tc>
          <w:tcPr>
            <w:tcW w:w="1915" w:type="dxa"/>
          </w:tcPr>
          <w:p w:rsidR="00672C42" w:rsidRDefault="00405954" w:rsidP="004A128E">
            <w:pPr>
              <w:spacing w:after="120"/>
            </w:pPr>
            <w:r>
              <w:t>Office machines</w:t>
            </w:r>
          </w:p>
        </w:tc>
        <w:tc>
          <w:tcPr>
            <w:tcW w:w="1915" w:type="dxa"/>
          </w:tcPr>
          <w:p w:rsidR="00672C42" w:rsidRDefault="00405954" w:rsidP="004A128E">
            <w:pPr>
              <w:spacing w:after="120"/>
            </w:pPr>
            <w:r>
              <w:t>Norwalk</w:t>
            </w:r>
          </w:p>
        </w:tc>
      </w:tr>
      <w:tr w:rsidR="00672C42" w:rsidTr="00672C42">
        <w:tc>
          <w:tcPr>
            <w:tcW w:w="1915" w:type="dxa"/>
          </w:tcPr>
          <w:p w:rsidR="00672C42" w:rsidRDefault="00405954" w:rsidP="004A128E">
            <w:pPr>
              <w:spacing w:after="120"/>
            </w:pPr>
            <w:r>
              <w:t>Terex</w:t>
            </w:r>
          </w:p>
        </w:tc>
        <w:tc>
          <w:tcPr>
            <w:tcW w:w="1915" w:type="dxa"/>
          </w:tcPr>
          <w:p w:rsidR="00672C42" w:rsidRDefault="00405954" w:rsidP="004A128E">
            <w:pPr>
              <w:spacing w:after="120"/>
            </w:pPr>
            <w:r>
              <w:t>$    3,897</w:t>
            </w:r>
          </w:p>
        </w:tc>
        <w:tc>
          <w:tcPr>
            <w:tcW w:w="1915" w:type="dxa"/>
          </w:tcPr>
          <w:p w:rsidR="00672C42" w:rsidRDefault="00405954" w:rsidP="004A128E">
            <w:pPr>
              <w:spacing w:after="120"/>
            </w:pPr>
            <w:r>
              <w:t>Construction Equipment</w:t>
            </w:r>
          </w:p>
        </w:tc>
        <w:tc>
          <w:tcPr>
            <w:tcW w:w="1915" w:type="dxa"/>
          </w:tcPr>
          <w:p w:rsidR="00672C42" w:rsidRDefault="00405954" w:rsidP="004A128E">
            <w:pPr>
              <w:spacing w:after="120"/>
            </w:pPr>
            <w:r>
              <w:t>Westport</w:t>
            </w:r>
          </w:p>
        </w:tc>
      </w:tr>
      <w:tr w:rsidR="00405954" w:rsidTr="00672C42">
        <w:tc>
          <w:tcPr>
            <w:tcW w:w="1915" w:type="dxa"/>
          </w:tcPr>
          <w:p w:rsidR="00405954" w:rsidRDefault="00405954" w:rsidP="004A128E">
            <w:pPr>
              <w:spacing w:after="120"/>
            </w:pPr>
            <w:r>
              <w:t>Chermtura Corporation</w:t>
            </w:r>
          </w:p>
        </w:tc>
        <w:tc>
          <w:tcPr>
            <w:tcW w:w="1915" w:type="dxa"/>
          </w:tcPr>
          <w:p w:rsidR="00405954" w:rsidRDefault="00405954" w:rsidP="004A128E">
            <w:pPr>
              <w:spacing w:after="120"/>
            </w:pPr>
            <w:r>
              <w:t>$    3,700</w:t>
            </w:r>
          </w:p>
        </w:tc>
        <w:tc>
          <w:tcPr>
            <w:tcW w:w="1915" w:type="dxa"/>
          </w:tcPr>
          <w:p w:rsidR="00405954" w:rsidRDefault="00405954" w:rsidP="004A128E">
            <w:pPr>
              <w:spacing w:after="120"/>
            </w:pPr>
            <w:r>
              <w:t>Specialty Chemicals</w:t>
            </w:r>
          </w:p>
        </w:tc>
        <w:tc>
          <w:tcPr>
            <w:tcW w:w="1915" w:type="dxa"/>
          </w:tcPr>
          <w:p w:rsidR="00405954" w:rsidRDefault="00405954" w:rsidP="004A128E">
            <w:pPr>
              <w:spacing w:after="120"/>
            </w:pPr>
            <w:r>
              <w:t>Middlebury</w:t>
            </w:r>
          </w:p>
        </w:tc>
      </w:tr>
    </w:tbl>
    <w:p w:rsidR="00672C42" w:rsidRPr="00672C42" w:rsidRDefault="00672C42" w:rsidP="004A128E">
      <w:pPr>
        <w:spacing w:after="120"/>
        <w:rPr>
          <w:sz w:val="24"/>
          <w:szCs w:val="24"/>
        </w:rPr>
      </w:pPr>
    </w:p>
    <w:p w:rsidR="00C0355A" w:rsidRDefault="00405954" w:rsidP="004A128E">
      <w:pPr>
        <w:spacing w:after="120"/>
        <w:rPr>
          <w:sz w:val="24"/>
          <w:szCs w:val="24"/>
        </w:rPr>
      </w:pPr>
      <w:r>
        <w:rPr>
          <w:sz w:val="24"/>
          <w:szCs w:val="24"/>
        </w:rPr>
        <w:lastRenderedPageBreak/>
        <w:t xml:space="preserve">Although only two of these </w:t>
      </w:r>
      <w:r w:rsidR="00F62199">
        <w:rPr>
          <w:sz w:val="24"/>
          <w:szCs w:val="24"/>
        </w:rPr>
        <w:t>firms, General Electric and United Technologies rely heavily on defense spending, they are by far the two largest firms in the State.</w:t>
      </w:r>
      <w:r w:rsidR="002811BE">
        <w:rPr>
          <w:sz w:val="24"/>
          <w:szCs w:val="24"/>
        </w:rPr>
        <w:t xml:space="preserve">  Federal appropriations for the acquisition of C-17 aircraft, development of the F-35 Joint Strike Fighter program, F-16 fighter jets and the </w:t>
      </w:r>
      <w:r w:rsidR="00E96797">
        <w:rPr>
          <w:sz w:val="24"/>
          <w:szCs w:val="24"/>
        </w:rPr>
        <w:t>Virginia Class attack s</w:t>
      </w:r>
      <w:r w:rsidR="002811BE">
        <w:rPr>
          <w:sz w:val="24"/>
          <w:szCs w:val="24"/>
        </w:rPr>
        <w:t>ubmarine program</w:t>
      </w:r>
      <w:r w:rsidR="00177051">
        <w:rPr>
          <w:sz w:val="24"/>
          <w:szCs w:val="24"/>
        </w:rPr>
        <w:t xml:space="preserve"> directly benefit the State.</w:t>
      </w:r>
      <w:r w:rsidR="00E96797">
        <w:rPr>
          <w:sz w:val="24"/>
          <w:szCs w:val="24"/>
        </w:rPr>
        <w:t xml:space="preserve">  Nearly $3 billion was allocated in the most recent defense budget for the acquisition</w:t>
      </w:r>
      <w:r w:rsidR="001F714F">
        <w:rPr>
          <w:sz w:val="24"/>
          <w:szCs w:val="24"/>
        </w:rPr>
        <w:t xml:space="preserve"> of helicopters and equipment.</w:t>
      </w:r>
    </w:p>
    <w:p w:rsidR="001F714F" w:rsidRDefault="001F714F" w:rsidP="004A128E">
      <w:pPr>
        <w:spacing w:after="120"/>
        <w:rPr>
          <w:sz w:val="24"/>
          <w:szCs w:val="24"/>
        </w:rPr>
      </w:pPr>
      <w:r>
        <w:rPr>
          <w:b/>
          <w:sz w:val="24"/>
          <w:szCs w:val="24"/>
        </w:rPr>
        <w:t>Education</w:t>
      </w:r>
    </w:p>
    <w:p w:rsidR="001F714F" w:rsidRDefault="001F714F" w:rsidP="004A128E">
      <w:pPr>
        <w:spacing w:after="120"/>
        <w:rPr>
          <w:sz w:val="24"/>
          <w:szCs w:val="24"/>
        </w:rPr>
      </w:pPr>
      <w:r>
        <w:rPr>
          <w:sz w:val="24"/>
          <w:szCs w:val="24"/>
        </w:rPr>
        <w:t xml:space="preserve">The educational services sector acts as a stabilizer during recessions, as total employment tends not to vary as much as other sectors of the economy.  In January 2007, before the onset of the recession, 19,343 persons were employed by the State of Connecticut in Educational Services.  By January of 2009, that number had risen to 19,885.  Annual employment in 2007 stood at 23,376 persons, rising to 24,2227 in 2008.  </w:t>
      </w:r>
      <w:r w:rsidR="00C855FF">
        <w:rPr>
          <w:sz w:val="24"/>
          <w:szCs w:val="24"/>
        </w:rPr>
        <w:t>Figures for February through</w:t>
      </w:r>
      <w:r>
        <w:rPr>
          <w:sz w:val="24"/>
          <w:szCs w:val="24"/>
        </w:rPr>
        <w:t xml:space="preserve"> </w:t>
      </w:r>
      <w:r w:rsidR="00C855FF">
        <w:rPr>
          <w:sz w:val="24"/>
          <w:szCs w:val="24"/>
        </w:rPr>
        <w:t xml:space="preserve">May of 2009 indicate a rise in employment.  Similarly, employment in private institutions averaged 49,265 in 2007, and rose to 51,348 in 2008.  Preliminary figures for 2009 suggest little weakness in hiring and retention.  A similar situation exists for local school districts, the largest class of employers.  Employment is down slightly across comparable months between 2008 and 2009, less than one percent, with the total number </w:t>
      </w:r>
      <w:r w:rsidR="00E33ED3">
        <w:rPr>
          <w:sz w:val="24"/>
          <w:szCs w:val="24"/>
        </w:rPr>
        <w:t>of jobs near or at 100,000 on a</w:t>
      </w:r>
      <w:r w:rsidR="00C855FF">
        <w:rPr>
          <w:sz w:val="24"/>
          <w:szCs w:val="24"/>
        </w:rPr>
        <w:t xml:space="preserve"> monthly basis.</w:t>
      </w:r>
    </w:p>
    <w:p w:rsidR="00E33ED3" w:rsidRDefault="00E33ED3" w:rsidP="004A128E">
      <w:pPr>
        <w:spacing w:after="120"/>
        <w:rPr>
          <w:sz w:val="24"/>
          <w:szCs w:val="24"/>
        </w:rPr>
      </w:pPr>
      <w:r>
        <w:rPr>
          <w:sz w:val="24"/>
          <w:szCs w:val="24"/>
        </w:rPr>
        <w:t>The salary in the education sector varies widely, but typically exceeds the mean for other occupations.  Overall, the average annual salary was $55,840.  Secondary school teachers made an average of $65,280 in 2008, while pre-school teachers averaged just $30,440.  Salaries have tended to be stable, despite the downturn.  The State has been able to count on this sector to dampen the impact of the recession, although localities that are now experiencing significant budgetary problems are unlikely to increase hiring in the near-term.</w:t>
      </w:r>
    </w:p>
    <w:p w:rsidR="00B90213" w:rsidRPr="008E2F57" w:rsidRDefault="00B90213" w:rsidP="004A128E">
      <w:pPr>
        <w:spacing w:after="120"/>
        <w:rPr>
          <w:b/>
          <w:i/>
          <w:sz w:val="24"/>
          <w:szCs w:val="24"/>
        </w:rPr>
      </w:pPr>
      <w:r w:rsidRPr="008E2F57">
        <w:rPr>
          <w:b/>
          <w:i/>
          <w:sz w:val="24"/>
          <w:szCs w:val="24"/>
        </w:rPr>
        <w:t xml:space="preserve">Salary Trends – Education </w:t>
      </w:r>
      <w:r w:rsidR="00C05BD8">
        <w:rPr>
          <w:b/>
          <w:i/>
          <w:sz w:val="24"/>
          <w:szCs w:val="24"/>
        </w:rPr>
        <w:t xml:space="preserve">and Health Services </w:t>
      </w:r>
      <w:r w:rsidRPr="008E2F57">
        <w:rPr>
          <w:b/>
          <w:i/>
          <w:sz w:val="24"/>
          <w:szCs w:val="24"/>
        </w:rPr>
        <w:t>Sector</w:t>
      </w:r>
      <w:r w:rsidR="00C05BD8">
        <w:rPr>
          <w:b/>
          <w:i/>
          <w:sz w:val="24"/>
          <w:szCs w:val="24"/>
        </w:rPr>
        <w:t xml:space="preserve"> (January)</w:t>
      </w:r>
    </w:p>
    <w:tbl>
      <w:tblPr>
        <w:tblStyle w:val="TableGrid"/>
        <w:tblW w:w="0" w:type="auto"/>
        <w:tblLook w:val="04A0"/>
      </w:tblPr>
      <w:tblGrid>
        <w:gridCol w:w="3192"/>
        <w:gridCol w:w="3192"/>
        <w:gridCol w:w="3192"/>
      </w:tblGrid>
      <w:tr w:rsidR="00B90213" w:rsidTr="00B90213">
        <w:tc>
          <w:tcPr>
            <w:tcW w:w="3192" w:type="dxa"/>
          </w:tcPr>
          <w:p w:rsidR="00B90213" w:rsidRPr="00C05BD8" w:rsidRDefault="00C05BD8" w:rsidP="004A128E">
            <w:pPr>
              <w:spacing w:after="120"/>
              <w:rPr>
                <w:sz w:val="28"/>
                <w:szCs w:val="28"/>
              </w:rPr>
            </w:pPr>
            <w:r w:rsidRPr="00C05BD8">
              <w:rPr>
                <w:sz w:val="28"/>
                <w:szCs w:val="28"/>
              </w:rPr>
              <w:t>Year</w:t>
            </w:r>
          </w:p>
        </w:tc>
        <w:tc>
          <w:tcPr>
            <w:tcW w:w="3192" w:type="dxa"/>
          </w:tcPr>
          <w:p w:rsidR="00B90213" w:rsidRPr="00C05BD8" w:rsidRDefault="00C05BD8" w:rsidP="004A128E">
            <w:pPr>
              <w:spacing w:after="120"/>
              <w:rPr>
                <w:sz w:val="28"/>
                <w:szCs w:val="28"/>
              </w:rPr>
            </w:pPr>
            <w:r w:rsidRPr="00C05BD8">
              <w:rPr>
                <w:sz w:val="28"/>
                <w:szCs w:val="28"/>
              </w:rPr>
              <w:t>Average Weekly Hours</w:t>
            </w:r>
          </w:p>
        </w:tc>
        <w:tc>
          <w:tcPr>
            <w:tcW w:w="3192" w:type="dxa"/>
          </w:tcPr>
          <w:p w:rsidR="00B90213" w:rsidRPr="00C05BD8" w:rsidRDefault="00C05BD8" w:rsidP="004A128E">
            <w:pPr>
              <w:spacing w:after="120"/>
              <w:rPr>
                <w:sz w:val="28"/>
                <w:szCs w:val="28"/>
              </w:rPr>
            </w:pPr>
            <w:r w:rsidRPr="00C05BD8">
              <w:rPr>
                <w:sz w:val="28"/>
                <w:szCs w:val="28"/>
              </w:rPr>
              <w:t>Average Weekly Earnings</w:t>
            </w:r>
          </w:p>
        </w:tc>
      </w:tr>
      <w:tr w:rsidR="00B90213" w:rsidTr="00B90213">
        <w:tc>
          <w:tcPr>
            <w:tcW w:w="3192" w:type="dxa"/>
          </w:tcPr>
          <w:p w:rsidR="00B90213" w:rsidRDefault="00C05BD8" w:rsidP="004A128E">
            <w:pPr>
              <w:spacing w:after="120"/>
            </w:pPr>
            <w:r>
              <w:t>2007</w:t>
            </w:r>
          </w:p>
        </w:tc>
        <w:tc>
          <w:tcPr>
            <w:tcW w:w="3192" w:type="dxa"/>
          </w:tcPr>
          <w:p w:rsidR="00B90213" w:rsidRDefault="00C05BD8" w:rsidP="004A128E">
            <w:pPr>
              <w:spacing w:after="120"/>
            </w:pPr>
            <w:r>
              <w:t>32.3</w:t>
            </w:r>
          </w:p>
        </w:tc>
        <w:tc>
          <w:tcPr>
            <w:tcW w:w="3192" w:type="dxa"/>
          </w:tcPr>
          <w:p w:rsidR="00B90213" w:rsidRDefault="00C05BD8" w:rsidP="004A128E">
            <w:pPr>
              <w:spacing w:after="120"/>
            </w:pPr>
            <w:r>
              <w:t>$735.5</w:t>
            </w:r>
          </w:p>
        </w:tc>
      </w:tr>
      <w:tr w:rsidR="00B90213" w:rsidTr="00B90213">
        <w:tc>
          <w:tcPr>
            <w:tcW w:w="3192" w:type="dxa"/>
          </w:tcPr>
          <w:p w:rsidR="00B90213" w:rsidRDefault="00C05BD8" w:rsidP="004A128E">
            <w:pPr>
              <w:spacing w:after="120"/>
            </w:pPr>
            <w:r>
              <w:t>2008</w:t>
            </w:r>
          </w:p>
        </w:tc>
        <w:tc>
          <w:tcPr>
            <w:tcW w:w="3192" w:type="dxa"/>
          </w:tcPr>
          <w:p w:rsidR="00B90213" w:rsidRDefault="00C05BD8" w:rsidP="004A128E">
            <w:pPr>
              <w:spacing w:after="120"/>
            </w:pPr>
            <w:r>
              <w:t>31.1</w:t>
            </w:r>
          </w:p>
        </w:tc>
        <w:tc>
          <w:tcPr>
            <w:tcW w:w="3192" w:type="dxa"/>
          </w:tcPr>
          <w:p w:rsidR="00B90213" w:rsidRDefault="00C05BD8" w:rsidP="004A128E">
            <w:pPr>
              <w:spacing w:after="120"/>
            </w:pPr>
            <w:r>
              <w:t>$746.4</w:t>
            </w:r>
          </w:p>
        </w:tc>
      </w:tr>
      <w:tr w:rsidR="00B90213" w:rsidTr="00B90213">
        <w:tc>
          <w:tcPr>
            <w:tcW w:w="3192" w:type="dxa"/>
          </w:tcPr>
          <w:p w:rsidR="00B90213" w:rsidRDefault="00C05BD8" w:rsidP="004A128E">
            <w:pPr>
              <w:spacing w:after="120"/>
            </w:pPr>
            <w:r>
              <w:t>2009</w:t>
            </w:r>
          </w:p>
        </w:tc>
        <w:tc>
          <w:tcPr>
            <w:tcW w:w="3192" w:type="dxa"/>
          </w:tcPr>
          <w:p w:rsidR="00B90213" w:rsidRDefault="00C05BD8" w:rsidP="004A128E">
            <w:pPr>
              <w:spacing w:after="120"/>
            </w:pPr>
            <w:r>
              <w:t>30.7</w:t>
            </w:r>
          </w:p>
        </w:tc>
        <w:tc>
          <w:tcPr>
            <w:tcW w:w="3192" w:type="dxa"/>
          </w:tcPr>
          <w:p w:rsidR="00B90213" w:rsidRDefault="00C05BD8" w:rsidP="004A128E">
            <w:pPr>
              <w:spacing w:after="120"/>
            </w:pPr>
            <w:r>
              <w:t>$795.7</w:t>
            </w:r>
          </w:p>
        </w:tc>
      </w:tr>
    </w:tbl>
    <w:p w:rsidR="00E33ED3" w:rsidRDefault="00E33ED3" w:rsidP="004A128E">
      <w:pPr>
        <w:spacing w:after="120"/>
        <w:rPr>
          <w:sz w:val="24"/>
          <w:szCs w:val="24"/>
        </w:rPr>
      </w:pPr>
    </w:p>
    <w:p w:rsidR="00E33ED3" w:rsidRPr="001F714F" w:rsidRDefault="00E33ED3" w:rsidP="004A128E">
      <w:pPr>
        <w:spacing w:after="120"/>
        <w:rPr>
          <w:sz w:val="24"/>
          <w:szCs w:val="24"/>
        </w:rPr>
      </w:pPr>
    </w:p>
    <w:p w:rsidR="00B20819" w:rsidRPr="00B20819" w:rsidRDefault="00B20819" w:rsidP="004A128E">
      <w:pPr>
        <w:spacing w:after="120"/>
        <w:rPr>
          <w:b/>
          <w:sz w:val="28"/>
          <w:szCs w:val="28"/>
        </w:rPr>
      </w:pPr>
      <w:r w:rsidRPr="00B20819">
        <w:rPr>
          <w:b/>
          <w:sz w:val="28"/>
          <w:szCs w:val="28"/>
        </w:rPr>
        <w:t>Connecticut’s Changing Labor Force</w:t>
      </w:r>
    </w:p>
    <w:p w:rsidR="00FF3C1B" w:rsidRPr="004A128E" w:rsidRDefault="004A128E" w:rsidP="004A128E">
      <w:pPr>
        <w:spacing w:after="120"/>
        <w:rPr>
          <w:b/>
          <w:sz w:val="24"/>
          <w:szCs w:val="24"/>
        </w:rPr>
      </w:pPr>
      <w:r>
        <w:rPr>
          <w:b/>
          <w:sz w:val="24"/>
          <w:szCs w:val="24"/>
        </w:rPr>
        <w:t>Labor Force Dynamics</w:t>
      </w:r>
      <w:r w:rsidR="007C040F">
        <w:rPr>
          <w:b/>
          <w:sz w:val="24"/>
          <w:szCs w:val="24"/>
        </w:rPr>
        <w:t xml:space="preserve"> - Migration</w:t>
      </w:r>
    </w:p>
    <w:p w:rsidR="00114F76" w:rsidRDefault="004A128E" w:rsidP="007C040F">
      <w:pPr>
        <w:spacing w:after="0" w:line="240" w:lineRule="auto"/>
        <w:jc w:val="both"/>
      </w:pPr>
      <w:r>
        <w:t>As a high cost-of-living state, Connecticut has experienced significant out-migration during the last two decades.</w:t>
      </w:r>
      <w:r w:rsidR="00114F76">
        <w:t xml:space="preserve"> In the past two years</w:t>
      </w:r>
      <w:r>
        <w:t xml:space="preserve"> alone</w:t>
      </w:r>
      <w:r w:rsidR="00114F76">
        <w:t>, the</w:t>
      </w:r>
      <w:r>
        <w:t xml:space="preserve"> State</w:t>
      </w:r>
      <w:r w:rsidR="00114F76">
        <w:t xml:space="preserve"> ha</w:t>
      </w:r>
      <w:r>
        <w:t>s</w:t>
      </w:r>
      <w:r w:rsidR="00114F76">
        <w:t xml:space="preserve"> lost 40,000 people.  Clearly, efforts need to be made </w:t>
      </w:r>
      <w:r w:rsidR="00114F76">
        <w:lastRenderedPageBreak/>
        <w:t xml:space="preserve">to </w:t>
      </w:r>
      <w:r w:rsidR="007C040F">
        <w:t>pull</w:t>
      </w:r>
      <w:r w:rsidR="00114F76">
        <w:t xml:space="preserve"> </w:t>
      </w:r>
      <w:r w:rsidR="007C040F">
        <w:t>residents</w:t>
      </w:r>
      <w:r w:rsidR="00114F76">
        <w:t xml:space="preserve"> back into the state. </w:t>
      </w:r>
      <w:r>
        <w:t xml:space="preserve"> </w:t>
      </w:r>
      <w:r w:rsidR="00B00FBB">
        <w:t>At present, p</w:t>
      </w:r>
      <w:r w:rsidR="00114F76">
        <w:t>eople</w:t>
      </w:r>
      <w:r>
        <w:t xml:space="preserve"> drawn into the State are primarily immigrants, particularly from South American and Mexico.</w:t>
      </w:r>
      <w:r w:rsidR="00114F76">
        <w:t xml:space="preserve"> </w:t>
      </w:r>
    </w:p>
    <w:p w:rsidR="00114F76" w:rsidRDefault="00114F76" w:rsidP="004A128E">
      <w:pPr>
        <w:spacing w:after="0"/>
        <w:jc w:val="both"/>
      </w:pPr>
    </w:p>
    <w:p w:rsidR="00114F76" w:rsidRDefault="00114F76" w:rsidP="00114F76">
      <w:pPr>
        <w:jc w:val="both"/>
      </w:pPr>
      <w:r w:rsidRPr="009B65A9">
        <w:rPr>
          <w:noProof/>
        </w:rPr>
        <w:drawing>
          <wp:inline distT="0" distB="0" distL="0" distR="0">
            <wp:extent cx="5601662" cy="3429000"/>
            <wp:effectExtent l="25400" t="0" r="11738" b="0"/>
            <wp:docPr id="10" name="Picture 5" descr="Macintosh HD:Users:DNevins:Desktop:graph 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Nevins:Desktop:graph 4.tiff"/>
                    <pic:cNvPicPr>
                      <a:picLocks noChangeAspect="1" noChangeArrowheads="1"/>
                    </pic:cNvPicPr>
                  </pic:nvPicPr>
                  <pic:blipFill>
                    <a:blip r:embed="rId16" cstate="print"/>
                    <a:srcRect/>
                    <a:stretch>
                      <a:fillRect/>
                    </a:stretch>
                  </pic:blipFill>
                  <pic:spPr bwMode="auto">
                    <a:xfrm>
                      <a:off x="0" y="0"/>
                      <a:ext cx="5608244" cy="3433029"/>
                    </a:xfrm>
                    <a:prstGeom prst="rect">
                      <a:avLst/>
                    </a:prstGeom>
                    <a:noFill/>
                    <a:ln w="9525">
                      <a:noFill/>
                      <a:miter lim="800000"/>
                      <a:headEnd/>
                      <a:tailEnd/>
                    </a:ln>
                  </pic:spPr>
                </pic:pic>
              </a:graphicData>
            </a:graphic>
          </wp:inline>
        </w:drawing>
      </w:r>
    </w:p>
    <w:p w:rsidR="00114F76" w:rsidRDefault="00114F76" w:rsidP="00114F76">
      <w:pPr>
        <w:jc w:val="both"/>
      </w:pPr>
    </w:p>
    <w:p w:rsidR="00114F76" w:rsidRDefault="00114F76" w:rsidP="00114F76">
      <w:pPr>
        <w:jc w:val="both"/>
      </w:pPr>
    </w:p>
    <w:p w:rsidR="00114F76" w:rsidRDefault="00114F76" w:rsidP="00114F76">
      <w:pPr>
        <w:jc w:val="both"/>
      </w:pPr>
    </w:p>
    <w:p w:rsidR="00114F76" w:rsidRDefault="00114F76" w:rsidP="00114F76">
      <w:pPr>
        <w:jc w:val="both"/>
      </w:pPr>
    </w:p>
    <w:p w:rsidR="00114F76" w:rsidRDefault="00114F76" w:rsidP="00114F76">
      <w:pPr>
        <w:jc w:val="both"/>
      </w:pPr>
      <w:r>
        <w:rPr>
          <w:noProof/>
        </w:rPr>
        <w:lastRenderedPageBreak/>
        <w:drawing>
          <wp:inline distT="0" distB="0" distL="0" distR="0">
            <wp:extent cx="5486400" cy="3683000"/>
            <wp:effectExtent l="25400" t="0" r="0" b="0"/>
            <wp:docPr id="11" name="Picture 3" descr="Macintosh HD:Users:DNevins:Desktop:graph 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Nevins:Desktop:graph 7.tiff"/>
                    <pic:cNvPicPr>
                      <a:picLocks noChangeAspect="1" noChangeArrowheads="1"/>
                    </pic:cNvPicPr>
                  </pic:nvPicPr>
                  <pic:blipFill>
                    <a:blip r:embed="rId17" cstate="print"/>
                    <a:srcRect/>
                    <a:stretch>
                      <a:fillRect/>
                    </a:stretch>
                  </pic:blipFill>
                  <pic:spPr bwMode="auto">
                    <a:xfrm>
                      <a:off x="0" y="0"/>
                      <a:ext cx="5486400" cy="3683000"/>
                    </a:xfrm>
                    <a:prstGeom prst="rect">
                      <a:avLst/>
                    </a:prstGeom>
                    <a:noFill/>
                    <a:ln w="9525">
                      <a:noFill/>
                      <a:miter lim="800000"/>
                      <a:headEnd/>
                      <a:tailEnd/>
                    </a:ln>
                  </pic:spPr>
                </pic:pic>
              </a:graphicData>
            </a:graphic>
          </wp:inline>
        </w:drawing>
      </w:r>
      <w:r w:rsidRPr="00550210">
        <w:rPr>
          <w:noProof/>
        </w:rPr>
        <w:drawing>
          <wp:inline distT="0" distB="0" distL="0" distR="0">
            <wp:extent cx="5486400" cy="3008671"/>
            <wp:effectExtent l="25400" t="0" r="0" b="0"/>
            <wp:docPr id="12" name="Picture 7" descr="Macintosh HD:Users:DNevins:Desktop:graph 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Nevins:Desktop:graph 3.tiff"/>
                    <pic:cNvPicPr>
                      <a:picLocks noChangeAspect="1" noChangeArrowheads="1"/>
                    </pic:cNvPicPr>
                  </pic:nvPicPr>
                  <pic:blipFill>
                    <a:blip r:embed="rId18" cstate="print"/>
                    <a:srcRect/>
                    <a:stretch>
                      <a:fillRect/>
                    </a:stretch>
                  </pic:blipFill>
                  <pic:spPr bwMode="auto">
                    <a:xfrm>
                      <a:off x="0" y="0"/>
                      <a:ext cx="5486400" cy="3008671"/>
                    </a:xfrm>
                    <a:prstGeom prst="rect">
                      <a:avLst/>
                    </a:prstGeom>
                    <a:noFill/>
                    <a:ln w="9525">
                      <a:noFill/>
                      <a:miter lim="800000"/>
                      <a:headEnd/>
                      <a:tailEnd/>
                    </a:ln>
                  </pic:spPr>
                </pic:pic>
              </a:graphicData>
            </a:graphic>
          </wp:inline>
        </w:drawing>
      </w:r>
    </w:p>
    <w:p w:rsidR="00114F76" w:rsidRDefault="00114F76" w:rsidP="00114F76">
      <w:pPr>
        <w:jc w:val="both"/>
      </w:pPr>
      <w:r>
        <w:lastRenderedPageBreak/>
        <w:softHyphen/>
      </w:r>
      <w:r>
        <w:rPr>
          <w:noProof/>
        </w:rPr>
        <w:drawing>
          <wp:inline distT="0" distB="0" distL="0" distR="0">
            <wp:extent cx="5384800" cy="8128000"/>
            <wp:effectExtent l="25400" t="0" r="0" b="0"/>
            <wp:docPr id="13" name="Picture 4" descr="Macintosh HD:Users:DNevins:Desktop:graph 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Nevins:Desktop:graph 6.tiff"/>
                    <pic:cNvPicPr>
                      <a:picLocks noChangeAspect="1" noChangeArrowheads="1"/>
                    </pic:cNvPicPr>
                  </pic:nvPicPr>
                  <pic:blipFill>
                    <a:blip r:embed="rId19" cstate="print"/>
                    <a:srcRect/>
                    <a:stretch>
                      <a:fillRect/>
                    </a:stretch>
                  </pic:blipFill>
                  <pic:spPr bwMode="auto">
                    <a:xfrm>
                      <a:off x="0" y="0"/>
                      <a:ext cx="5384800" cy="8128000"/>
                    </a:xfrm>
                    <a:prstGeom prst="rect">
                      <a:avLst/>
                    </a:prstGeom>
                    <a:noFill/>
                    <a:ln w="9525">
                      <a:noFill/>
                      <a:miter lim="800000"/>
                      <a:headEnd/>
                      <a:tailEnd/>
                    </a:ln>
                  </pic:spPr>
                </pic:pic>
              </a:graphicData>
            </a:graphic>
          </wp:inline>
        </w:drawing>
      </w:r>
    </w:p>
    <w:p w:rsidR="00114F76" w:rsidRDefault="00114F76" w:rsidP="00114F76">
      <w:pPr>
        <w:jc w:val="both"/>
      </w:pPr>
      <w:r>
        <w:rPr>
          <w:noProof/>
        </w:rPr>
        <w:lastRenderedPageBreak/>
        <w:drawing>
          <wp:inline distT="0" distB="0" distL="0" distR="0">
            <wp:extent cx="5486400" cy="3022600"/>
            <wp:effectExtent l="25400" t="0" r="0" b="0"/>
            <wp:docPr id="14" name="Picture 8" descr="Macintosh HD:Users:DNevins:Desktop:graph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Nevins:Desktop:graph 2.tiff"/>
                    <pic:cNvPicPr>
                      <a:picLocks noChangeAspect="1" noChangeArrowheads="1"/>
                    </pic:cNvPicPr>
                  </pic:nvPicPr>
                  <pic:blipFill>
                    <a:blip r:embed="rId20" cstate="print"/>
                    <a:srcRect/>
                    <a:stretch>
                      <a:fillRect/>
                    </a:stretch>
                  </pic:blipFill>
                  <pic:spPr bwMode="auto">
                    <a:xfrm>
                      <a:off x="0" y="0"/>
                      <a:ext cx="5486400" cy="3022600"/>
                    </a:xfrm>
                    <a:prstGeom prst="rect">
                      <a:avLst/>
                    </a:prstGeom>
                    <a:noFill/>
                    <a:ln w="9525">
                      <a:noFill/>
                      <a:miter lim="800000"/>
                      <a:headEnd/>
                      <a:tailEnd/>
                    </a:ln>
                  </pic:spPr>
                </pic:pic>
              </a:graphicData>
            </a:graphic>
          </wp:inline>
        </w:drawing>
      </w:r>
    </w:p>
    <w:p w:rsidR="0017666B" w:rsidRDefault="0017666B" w:rsidP="0017666B">
      <w:pPr>
        <w:spacing w:after="0" w:line="480" w:lineRule="auto"/>
        <w:jc w:val="both"/>
      </w:pPr>
    </w:p>
    <w:p w:rsidR="00114F76" w:rsidRDefault="00114F76" w:rsidP="00B00FBB">
      <w:pPr>
        <w:spacing w:after="0" w:line="240" w:lineRule="auto"/>
        <w:jc w:val="both"/>
        <w:rPr>
          <w:rFonts w:ascii="Times New Roman" w:hAnsi="Times New Roman" w:cs="Times New Roman"/>
        </w:rPr>
      </w:pPr>
      <w:r>
        <w:rPr>
          <w:rFonts w:ascii="Times New Roman" w:hAnsi="Times New Roman" w:cs="Times New Roman"/>
        </w:rPr>
        <w:t xml:space="preserve">Out-Migration is a serious threat to the economy of Connecticut. The economy depends on </w:t>
      </w:r>
      <w:r w:rsidR="00B00FBB">
        <w:rPr>
          <w:rFonts w:ascii="Times New Roman" w:hAnsi="Times New Roman" w:cs="Times New Roman"/>
        </w:rPr>
        <w:t>residents</w:t>
      </w:r>
      <w:r>
        <w:rPr>
          <w:rFonts w:ascii="Times New Roman" w:hAnsi="Times New Roman" w:cs="Times New Roman"/>
        </w:rPr>
        <w:t xml:space="preserve"> </w:t>
      </w:r>
      <w:r w:rsidR="009E59C7">
        <w:rPr>
          <w:rFonts w:ascii="Times New Roman" w:hAnsi="Times New Roman" w:cs="Times New Roman"/>
        </w:rPr>
        <w:t>as a source of</w:t>
      </w:r>
      <w:r>
        <w:rPr>
          <w:rFonts w:ascii="Times New Roman" w:hAnsi="Times New Roman" w:cs="Times New Roman"/>
        </w:rPr>
        <w:t xml:space="preserve"> tax revenue, which in turn helps to keep infrastructure, education, and other vital s</w:t>
      </w:r>
      <w:r w:rsidR="00B00FBB">
        <w:rPr>
          <w:rFonts w:ascii="Times New Roman" w:hAnsi="Times New Roman" w:cs="Times New Roman"/>
        </w:rPr>
        <w:t>ervices</w:t>
      </w:r>
      <w:r>
        <w:rPr>
          <w:rFonts w:ascii="Times New Roman" w:hAnsi="Times New Roman" w:cs="Times New Roman"/>
        </w:rPr>
        <w:t xml:space="preserve"> running. When looking into the reasons why the citizens of Connecticut are leaving, it becomes clear that the high </w:t>
      </w:r>
      <w:r w:rsidR="007C040F">
        <w:rPr>
          <w:rFonts w:ascii="Times New Roman" w:hAnsi="Times New Roman" w:cs="Times New Roman"/>
        </w:rPr>
        <w:t xml:space="preserve">overall </w:t>
      </w:r>
      <w:r>
        <w:rPr>
          <w:rFonts w:ascii="Times New Roman" w:hAnsi="Times New Roman" w:cs="Times New Roman"/>
        </w:rPr>
        <w:t>tax</w:t>
      </w:r>
      <w:r w:rsidR="007C040F">
        <w:rPr>
          <w:rFonts w:ascii="Times New Roman" w:hAnsi="Times New Roman" w:cs="Times New Roman"/>
        </w:rPr>
        <w:t xml:space="preserve"> rates</w:t>
      </w:r>
      <w:r>
        <w:rPr>
          <w:rFonts w:ascii="Times New Roman" w:hAnsi="Times New Roman" w:cs="Times New Roman"/>
        </w:rPr>
        <w:t xml:space="preserve"> and housing prices are driving these citizens out. </w:t>
      </w:r>
    </w:p>
    <w:p w:rsidR="00EC249A" w:rsidRDefault="00EC249A" w:rsidP="00BB17AD">
      <w:pPr>
        <w:spacing w:after="120" w:line="240" w:lineRule="auto"/>
        <w:jc w:val="both"/>
        <w:rPr>
          <w:rFonts w:ascii="Times New Roman" w:hAnsi="Times New Roman" w:cs="Times New Roman"/>
        </w:rPr>
      </w:pPr>
    </w:p>
    <w:p w:rsidR="0017666B" w:rsidRDefault="00B00FBB" w:rsidP="00BB17AD">
      <w:pPr>
        <w:spacing w:after="120" w:line="240" w:lineRule="auto"/>
        <w:jc w:val="both"/>
        <w:rPr>
          <w:rFonts w:ascii="Times New Roman" w:hAnsi="Times New Roman" w:cs="Times New Roman"/>
        </w:rPr>
      </w:pPr>
      <w:r>
        <w:rPr>
          <w:rFonts w:ascii="Times New Roman" w:hAnsi="Times New Roman" w:cs="Times New Roman"/>
        </w:rPr>
        <w:t>O</w:t>
      </w:r>
      <w:r w:rsidR="00114F76">
        <w:rPr>
          <w:rFonts w:ascii="Times New Roman" w:hAnsi="Times New Roman" w:cs="Times New Roman"/>
        </w:rPr>
        <w:t>ver the last twenty years, one in ten citizens of Connecticut has moved elsewhere. Also, almost half of the people who decided to stay within the state have considered leaving the state due to the high tax</w:t>
      </w:r>
      <w:r w:rsidR="009E59C7">
        <w:rPr>
          <w:rFonts w:ascii="Times New Roman" w:hAnsi="Times New Roman" w:cs="Times New Roman"/>
        </w:rPr>
        <w:t xml:space="preserve"> rates</w:t>
      </w:r>
      <w:r w:rsidR="00114F76">
        <w:rPr>
          <w:rFonts w:ascii="Times New Roman" w:hAnsi="Times New Roman" w:cs="Times New Roman"/>
        </w:rPr>
        <w:t xml:space="preserve">. </w:t>
      </w:r>
      <w:r w:rsidR="009E59C7">
        <w:rPr>
          <w:rFonts w:ascii="Times New Roman" w:hAnsi="Times New Roman" w:cs="Times New Roman"/>
        </w:rPr>
        <w:t xml:space="preserve">These departures result in a reduction in effective demand, and a decision on the part of firms to </w:t>
      </w:r>
      <w:r w:rsidR="00114F76">
        <w:rPr>
          <w:rFonts w:ascii="Times New Roman" w:hAnsi="Times New Roman" w:cs="Times New Roman"/>
        </w:rPr>
        <w:t xml:space="preserve">slim down production and employ fewer people. </w:t>
      </w:r>
      <w:r w:rsidR="009E59C7">
        <w:rPr>
          <w:rFonts w:ascii="Times New Roman" w:hAnsi="Times New Roman" w:cs="Times New Roman"/>
        </w:rPr>
        <w:t>An outcome of this population drop has resulted in Connecticut losing a seat in the House of Representatives, reducing the State’s ability to influence national policy.</w:t>
      </w:r>
      <w:r w:rsidR="00114F76">
        <w:rPr>
          <w:rFonts w:ascii="Times New Roman" w:hAnsi="Times New Roman" w:cs="Times New Roman"/>
        </w:rPr>
        <w:t xml:space="preserve">In the past twenty years, Connecticut has a net loss of over 300,000 people. The effects of this loss would be the same as if an entire small-city </w:t>
      </w:r>
      <w:r w:rsidR="00BB17AD">
        <w:rPr>
          <w:rFonts w:ascii="Times New Roman" w:hAnsi="Times New Roman" w:cs="Times New Roman"/>
        </w:rPr>
        <w:t>were to leave</w:t>
      </w:r>
      <w:r w:rsidR="00114F76">
        <w:rPr>
          <w:rFonts w:ascii="Times New Roman" w:hAnsi="Times New Roman" w:cs="Times New Roman"/>
        </w:rPr>
        <w:t xml:space="preserve">. </w:t>
      </w:r>
      <w:r w:rsidR="00BB17AD">
        <w:rPr>
          <w:rFonts w:ascii="Times New Roman" w:hAnsi="Times New Roman" w:cs="Times New Roman"/>
        </w:rPr>
        <w:t>N</w:t>
      </w:r>
      <w:r w:rsidR="00114F76">
        <w:rPr>
          <w:rFonts w:ascii="Times New Roman" w:hAnsi="Times New Roman" w:cs="Times New Roman"/>
        </w:rPr>
        <w:t xml:space="preserve">aturally, the population migrating out of Connecticut is moving towards states with lower taxes and more financially secure economies. </w:t>
      </w:r>
      <w:r w:rsidR="00BB17AD">
        <w:rPr>
          <w:rFonts w:ascii="Times New Roman" w:hAnsi="Times New Roman" w:cs="Times New Roman"/>
        </w:rPr>
        <w:t>The primary destination</w:t>
      </w:r>
      <w:r w:rsidR="00114F76">
        <w:rPr>
          <w:rFonts w:ascii="Times New Roman" w:hAnsi="Times New Roman" w:cs="Times New Roman"/>
        </w:rPr>
        <w:t xml:space="preserve"> </w:t>
      </w:r>
      <w:r w:rsidR="00BB17AD">
        <w:rPr>
          <w:rFonts w:ascii="Times New Roman" w:hAnsi="Times New Roman" w:cs="Times New Roman"/>
        </w:rPr>
        <w:t xml:space="preserve">(see </w:t>
      </w:r>
      <w:r w:rsidR="00114F76">
        <w:rPr>
          <w:rFonts w:ascii="Times New Roman" w:hAnsi="Times New Roman" w:cs="Times New Roman"/>
        </w:rPr>
        <w:t>chart</w:t>
      </w:r>
      <w:r w:rsidR="00BB17AD">
        <w:rPr>
          <w:rFonts w:ascii="Times New Roman" w:hAnsi="Times New Roman" w:cs="Times New Roman"/>
        </w:rPr>
        <w:t>)</w:t>
      </w:r>
      <w:r w:rsidR="00114F76">
        <w:rPr>
          <w:rFonts w:ascii="Times New Roman" w:hAnsi="Times New Roman" w:cs="Times New Roman"/>
        </w:rPr>
        <w:t xml:space="preserve"> for former Connecticut citizens are New York and New Jersey. Florida is a popular destination as well, because there is no income tax. Many people from the Middle-States and New England have family and friends that live in nearby states.</w:t>
      </w:r>
      <w:r w:rsidR="00BB17AD">
        <w:rPr>
          <w:rFonts w:ascii="Times New Roman" w:hAnsi="Times New Roman" w:cs="Times New Roman"/>
        </w:rPr>
        <w:t xml:space="preserve"> As the population of Connecticut ages, out-migration is likely to increase, as retirees generally regard Connecticut as too expensive. </w:t>
      </w:r>
      <w:r w:rsidR="00114F76">
        <w:rPr>
          <w:rFonts w:ascii="Times New Roman" w:hAnsi="Times New Roman" w:cs="Times New Roman"/>
        </w:rPr>
        <w:t xml:space="preserve"> </w:t>
      </w:r>
    </w:p>
    <w:p w:rsidR="00114F76" w:rsidRDefault="00114F76" w:rsidP="00BB17AD">
      <w:pPr>
        <w:spacing w:line="240" w:lineRule="auto"/>
        <w:jc w:val="both"/>
        <w:rPr>
          <w:rFonts w:ascii="Times New Roman" w:hAnsi="Times New Roman" w:cs="Times New Roman"/>
        </w:rPr>
      </w:pPr>
      <w:r>
        <w:rPr>
          <w:rFonts w:ascii="Times New Roman" w:hAnsi="Times New Roman" w:cs="Times New Roman"/>
        </w:rPr>
        <w:t>in spite of obvious out migration issues, the population of Connecticut has still been growing over the past twenty years. However, the rate of this growth has been decreasing. Between 1990 and 2000, the population increased by 118,449 people (approximately 3.6%). Between 2000 and 2008 though, the population only increased by 95,687 people (approximately 2.8%). If this trend continues at the rate it has been, this growth could turn to stagnation.</w:t>
      </w:r>
    </w:p>
    <w:p w:rsidR="00EC249A" w:rsidRDefault="00EC249A" w:rsidP="00BB17AD">
      <w:pPr>
        <w:spacing w:line="240" w:lineRule="auto"/>
        <w:jc w:val="both"/>
        <w:rPr>
          <w:rFonts w:ascii="Times New Roman" w:hAnsi="Times New Roman" w:cs="Times New Roman"/>
        </w:rPr>
      </w:pPr>
    </w:p>
    <w:p w:rsidR="00EC249A" w:rsidRDefault="00EC249A" w:rsidP="00BB17AD">
      <w:pPr>
        <w:spacing w:line="240" w:lineRule="auto"/>
        <w:jc w:val="both"/>
        <w:rPr>
          <w:rFonts w:ascii="Times New Roman" w:hAnsi="Times New Roman" w:cs="Times New Roman"/>
        </w:rPr>
      </w:pPr>
    </w:p>
    <w:p w:rsidR="00EC249A" w:rsidRDefault="00EC249A" w:rsidP="00BB17AD">
      <w:pPr>
        <w:spacing w:line="240" w:lineRule="auto"/>
        <w:jc w:val="both"/>
        <w:rPr>
          <w:rFonts w:ascii="Times New Roman" w:hAnsi="Times New Roman" w:cs="Times New Roman"/>
        </w:rPr>
      </w:pPr>
    </w:p>
    <w:tbl>
      <w:tblPr>
        <w:tblW w:w="0" w:type="auto"/>
        <w:tblBorders>
          <w:top w:val="nil"/>
          <w:left w:val="nil"/>
          <w:right w:val="nil"/>
        </w:tblBorders>
        <w:tblLayout w:type="fixed"/>
        <w:tblLook w:val="0000"/>
      </w:tblPr>
      <w:tblGrid>
        <w:gridCol w:w="1728"/>
        <w:gridCol w:w="1392"/>
        <w:gridCol w:w="1920"/>
        <w:gridCol w:w="1920"/>
      </w:tblGrid>
      <w:tr w:rsidR="00114F76" w:rsidRPr="00172971" w:rsidTr="007D2692">
        <w:tc>
          <w:tcPr>
            <w:tcW w:w="1728" w:type="dxa"/>
            <w:tcBorders>
              <w:bottom w:val="single" w:sz="8" w:space="0" w:color="BBBBBB"/>
            </w:tcBorders>
            <w:tcMar>
              <w:top w:w="220" w:type="nil"/>
              <w:left w:w="40" w:type="nil"/>
              <w:bottom w:w="40" w:type="nil"/>
              <w:right w:w="220" w:type="nil"/>
            </w:tcMar>
            <w:vAlign w:val="center"/>
          </w:tcPr>
          <w:p w:rsidR="00114F76" w:rsidRPr="00172971" w:rsidRDefault="00114F76" w:rsidP="00BB17AD">
            <w:pPr>
              <w:widowControl w:val="0"/>
              <w:autoSpaceDE w:val="0"/>
              <w:autoSpaceDN w:val="0"/>
              <w:adjustRightInd w:val="0"/>
              <w:spacing w:after="0" w:line="240" w:lineRule="auto"/>
              <w:jc w:val="center"/>
              <w:rPr>
                <w:rFonts w:ascii="Arial" w:hAnsi="Arial" w:cs="Arial"/>
                <w:b/>
                <w:bCs/>
              </w:rPr>
            </w:pPr>
            <w:r w:rsidRPr="00172971">
              <w:rPr>
                <w:rFonts w:ascii="Arial" w:hAnsi="Arial" w:cs="Arial"/>
                <w:b/>
                <w:bCs/>
              </w:rPr>
              <w:lastRenderedPageBreak/>
              <w:t> </w:t>
            </w:r>
          </w:p>
        </w:tc>
        <w:tc>
          <w:tcPr>
            <w:tcW w:w="1392" w:type="dxa"/>
            <w:tcBorders>
              <w:left w:val="single" w:sz="8" w:space="0" w:color="BBBBBB"/>
              <w:bottom w:val="single" w:sz="8" w:space="0" w:color="BBBBBB"/>
            </w:tcBorders>
            <w:tcMar>
              <w:top w:w="220" w:type="nil"/>
              <w:left w:w="40" w:type="nil"/>
              <w:bottom w:w="40" w:type="nil"/>
              <w:right w:w="220" w:type="nil"/>
            </w:tcMar>
            <w:vAlign w:val="center"/>
          </w:tcPr>
          <w:p w:rsidR="00114F76" w:rsidRPr="00172971" w:rsidRDefault="00114F76" w:rsidP="00BB17AD">
            <w:pPr>
              <w:widowControl w:val="0"/>
              <w:autoSpaceDE w:val="0"/>
              <w:autoSpaceDN w:val="0"/>
              <w:adjustRightInd w:val="0"/>
              <w:spacing w:after="0" w:line="240" w:lineRule="auto"/>
              <w:jc w:val="center"/>
              <w:rPr>
                <w:rFonts w:ascii="Arial" w:hAnsi="Arial" w:cs="Arial"/>
                <w:b/>
                <w:bCs/>
              </w:rPr>
            </w:pPr>
            <w:r w:rsidRPr="00172971">
              <w:rPr>
                <w:rFonts w:ascii="Arial" w:hAnsi="Arial" w:cs="Arial"/>
                <w:b/>
                <w:bCs/>
              </w:rPr>
              <w:t>2008</w:t>
            </w:r>
          </w:p>
        </w:tc>
        <w:tc>
          <w:tcPr>
            <w:tcW w:w="1920" w:type="dxa"/>
            <w:tcBorders>
              <w:left w:val="single" w:sz="8" w:space="0" w:color="BBBBBB"/>
              <w:bottom w:val="single" w:sz="8" w:space="0" w:color="BBBBBB"/>
            </w:tcBorders>
            <w:tcMar>
              <w:top w:w="220" w:type="nil"/>
              <w:left w:w="40" w:type="nil"/>
              <w:bottom w:w="40" w:type="nil"/>
              <w:right w:w="220" w:type="nil"/>
            </w:tcMar>
            <w:vAlign w:val="center"/>
          </w:tcPr>
          <w:p w:rsidR="00114F76" w:rsidRPr="00172971" w:rsidRDefault="00114F76" w:rsidP="00BB17AD">
            <w:pPr>
              <w:widowControl w:val="0"/>
              <w:autoSpaceDE w:val="0"/>
              <w:autoSpaceDN w:val="0"/>
              <w:adjustRightInd w:val="0"/>
              <w:spacing w:after="0" w:line="240" w:lineRule="auto"/>
              <w:jc w:val="center"/>
              <w:rPr>
                <w:rFonts w:ascii="Arial" w:hAnsi="Arial" w:cs="Arial"/>
                <w:b/>
                <w:bCs/>
              </w:rPr>
            </w:pPr>
            <w:r w:rsidRPr="00172971">
              <w:rPr>
                <w:rFonts w:ascii="Arial" w:hAnsi="Arial" w:cs="Arial"/>
                <w:b/>
                <w:bCs/>
              </w:rPr>
              <w:t>2000</w:t>
            </w:r>
          </w:p>
        </w:tc>
        <w:tc>
          <w:tcPr>
            <w:tcW w:w="1920" w:type="dxa"/>
            <w:tcBorders>
              <w:left w:val="single" w:sz="8" w:space="0" w:color="BBBBBB"/>
              <w:bottom w:val="single" w:sz="8" w:space="0" w:color="BBBBBB"/>
            </w:tcBorders>
            <w:tcMar>
              <w:top w:w="220" w:type="nil"/>
              <w:left w:w="40" w:type="nil"/>
              <w:bottom w:w="40" w:type="nil"/>
              <w:right w:w="220" w:type="nil"/>
            </w:tcMar>
            <w:vAlign w:val="center"/>
          </w:tcPr>
          <w:p w:rsidR="00114F76" w:rsidRPr="00172971" w:rsidRDefault="00114F76" w:rsidP="00BB17AD">
            <w:pPr>
              <w:widowControl w:val="0"/>
              <w:autoSpaceDE w:val="0"/>
              <w:autoSpaceDN w:val="0"/>
              <w:adjustRightInd w:val="0"/>
              <w:spacing w:after="0" w:line="240" w:lineRule="auto"/>
              <w:jc w:val="center"/>
              <w:rPr>
                <w:rFonts w:ascii="Arial" w:hAnsi="Arial" w:cs="Arial"/>
                <w:b/>
                <w:bCs/>
              </w:rPr>
            </w:pPr>
            <w:r w:rsidRPr="00172971">
              <w:rPr>
                <w:rFonts w:ascii="Arial" w:hAnsi="Arial" w:cs="Arial"/>
                <w:b/>
                <w:bCs/>
              </w:rPr>
              <w:t>1990</w:t>
            </w:r>
          </w:p>
        </w:tc>
      </w:tr>
      <w:tr w:rsidR="00114F76" w:rsidRPr="00172971" w:rsidTr="007D2692">
        <w:tc>
          <w:tcPr>
            <w:tcW w:w="1728" w:type="dxa"/>
            <w:tcMar>
              <w:top w:w="220" w:type="nil"/>
              <w:left w:w="40" w:type="nil"/>
              <w:bottom w:w="40" w:type="nil"/>
              <w:right w:w="220" w:type="nil"/>
            </w:tcMar>
            <w:vAlign w:val="center"/>
          </w:tcPr>
          <w:p w:rsidR="00114F76" w:rsidRPr="00172971" w:rsidRDefault="00114F76" w:rsidP="00BB17AD">
            <w:pPr>
              <w:widowControl w:val="0"/>
              <w:autoSpaceDE w:val="0"/>
              <w:autoSpaceDN w:val="0"/>
              <w:adjustRightInd w:val="0"/>
              <w:spacing w:after="0" w:line="240" w:lineRule="auto"/>
              <w:jc w:val="center"/>
              <w:rPr>
                <w:rFonts w:ascii="Arial" w:hAnsi="Arial" w:cs="Arial"/>
                <w:b/>
                <w:bCs/>
              </w:rPr>
            </w:pPr>
            <w:r w:rsidRPr="00172971">
              <w:rPr>
                <w:rFonts w:ascii="Arial" w:hAnsi="Arial" w:cs="Arial"/>
                <w:b/>
                <w:bCs/>
              </w:rPr>
              <w:t>Population</w:t>
            </w:r>
          </w:p>
        </w:tc>
        <w:tc>
          <w:tcPr>
            <w:tcW w:w="1392" w:type="dxa"/>
            <w:tcBorders>
              <w:left w:val="single" w:sz="8" w:space="0" w:color="BBBBBB"/>
            </w:tcBorders>
            <w:tcMar>
              <w:top w:w="220" w:type="nil"/>
              <w:left w:w="40" w:type="nil"/>
              <w:bottom w:w="40" w:type="nil"/>
              <w:right w:w="220" w:type="nil"/>
            </w:tcMar>
            <w:vAlign w:val="center"/>
          </w:tcPr>
          <w:p w:rsidR="00114F76" w:rsidRPr="00172971" w:rsidRDefault="00114F76" w:rsidP="00BB17AD">
            <w:pPr>
              <w:widowControl w:val="0"/>
              <w:autoSpaceDE w:val="0"/>
              <w:autoSpaceDN w:val="0"/>
              <w:adjustRightInd w:val="0"/>
              <w:spacing w:after="0" w:line="240" w:lineRule="auto"/>
              <w:jc w:val="center"/>
              <w:rPr>
                <w:rFonts w:ascii="Arial" w:hAnsi="Arial" w:cs="Arial"/>
              </w:rPr>
            </w:pPr>
            <w:r w:rsidRPr="00172971">
              <w:rPr>
                <w:rFonts w:ascii="Arial" w:hAnsi="Arial" w:cs="Arial"/>
              </w:rPr>
              <w:t>3,501,252</w:t>
            </w:r>
          </w:p>
        </w:tc>
        <w:tc>
          <w:tcPr>
            <w:tcW w:w="1920" w:type="dxa"/>
            <w:tcBorders>
              <w:left w:val="single" w:sz="8" w:space="0" w:color="BBBBBB"/>
            </w:tcBorders>
            <w:tcMar>
              <w:top w:w="220" w:type="nil"/>
              <w:left w:w="40" w:type="nil"/>
              <w:bottom w:w="40" w:type="nil"/>
              <w:right w:w="220" w:type="nil"/>
            </w:tcMar>
            <w:vAlign w:val="center"/>
          </w:tcPr>
          <w:p w:rsidR="00114F76" w:rsidRPr="00172971" w:rsidRDefault="00114F76" w:rsidP="00BB17AD">
            <w:pPr>
              <w:widowControl w:val="0"/>
              <w:autoSpaceDE w:val="0"/>
              <w:autoSpaceDN w:val="0"/>
              <w:adjustRightInd w:val="0"/>
              <w:spacing w:after="0" w:line="240" w:lineRule="auto"/>
              <w:jc w:val="center"/>
              <w:rPr>
                <w:rFonts w:ascii="Arial" w:hAnsi="Arial" w:cs="Arial"/>
              </w:rPr>
            </w:pPr>
            <w:r w:rsidRPr="00172971">
              <w:rPr>
                <w:rFonts w:ascii="Arial" w:hAnsi="Arial" w:cs="Arial"/>
              </w:rPr>
              <w:t>3,405,565</w:t>
            </w:r>
          </w:p>
        </w:tc>
        <w:tc>
          <w:tcPr>
            <w:tcW w:w="1920" w:type="dxa"/>
            <w:tcBorders>
              <w:left w:val="single" w:sz="8" w:space="0" w:color="BBBBBB"/>
            </w:tcBorders>
            <w:tcMar>
              <w:top w:w="220" w:type="nil"/>
              <w:left w:w="40" w:type="nil"/>
              <w:bottom w:w="40" w:type="nil"/>
              <w:right w:w="220" w:type="nil"/>
            </w:tcMar>
            <w:vAlign w:val="center"/>
          </w:tcPr>
          <w:p w:rsidR="00114F76" w:rsidRPr="00172971" w:rsidRDefault="00114F76" w:rsidP="00BB17AD">
            <w:pPr>
              <w:widowControl w:val="0"/>
              <w:autoSpaceDE w:val="0"/>
              <w:autoSpaceDN w:val="0"/>
              <w:adjustRightInd w:val="0"/>
              <w:spacing w:after="0" w:line="240" w:lineRule="auto"/>
              <w:jc w:val="center"/>
              <w:rPr>
                <w:rFonts w:ascii="Arial" w:hAnsi="Arial" w:cs="Arial"/>
              </w:rPr>
            </w:pPr>
            <w:r w:rsidRPr="00172971">
              <w:rPr>
                <w:rFonts w:ascii="Arial" w:hAnsi="Arial" w:cs="Arial"/>
              </w:rPr>
              <w:t>3,287,116</w:t>
            </w:r>
          </w:p>
        </w:tc>
      </w:tr>
    </w:tbl>
    <w:p w:rsidR="00114F76" w:rsidRDefault="00114F76" w:rsidP="00BB17AD">
      <w:pPr>
        <w:spacing w:line="240" w:lineRule="auto"/>
        <w:jc w:val="both"/>
        <w:rPr>
          <w:rFonts w:ascii="Times New Roman" w:hAnsi="Times New Roman" w:cs="Times New Roman"/>
        </w:rPr>
      </w:pPr>
      <w:r>
        <w:rPr>
          <w:rFonts w:ascii="Times New Roman" w:hAnsi="Times New Roman" w:cs="Times New Roman"/>
        </w:rPr>
        <w:t>Source: Census Bureau</w:t>
      </w:r>
    </w:p>
    <w:p w:rsidR="00114F76" w:rsidRDefault="00114F76" w:rsidP="00BB17AD">
      <w:pPr>
        <w:spacing w:line="240" w:lineRule="auto"/>
        <w:jc w:val="both"/>
        <w:rPr>
          <w:rFonts w:cs="Verdana"/>
        </w:rPr>
      </w:pPr>
      <w:r>
        <w:rPr>
          <w:rFonts w:ascii="Times New Roman" w:hAnsi="Times New Roman" w:cs="Times New Roman"/>
        </w:rPr>
        <w:t xml:space="preserve">This growth in population comes from a variety of sources, such as birth rate, moving jobs, illegal immigration, and in-migration. Illegal immigration has been a major factor in demographics over the past twenty years. </w:t>
      </w:r>
      <w:r w:rsidRPr="00391D8C">
        <w:rPr>
          <w:rFonts w:cs="Verdana"/>
        </w:rPr>
        <w:t>The top five states people move into Connecticut from are New York (81,173), New Jersey (6,001), Rhode Island (1,637), Illinois (944) and Nebraska (298).</w:t>
      </w:r>
    </w:p>
    <w:p w:rsidR="00EC249A" w:rsidRDefault="00114F76" w:rsidP="00EC249A">
      <w:pPr>
        <w:spacing w:line="480" w:lineRule="auto"/>
        <w:jc w:val="both"/>
        <w:outlineLvl w:val="0"/>
        <w:rPr>
          <w:rFonts w:ascii="Times New Roman" w:hAnsi="Times New Roman" w:cs="Times New Roman"/>
          <w:b/>
        </w:rPr>
      </w:pPr>
      <w:r>
        <w:rPr>
          <w:rFonts w:ascii="Times New Roman" w:hAnsi="Times New Roman" w:cs="Times New Roman"/>
          <w:b/>
        </w:rPr>
        <w:t>What can Connecticut do to solve this problem?</w:t>
      </w:r>
    </w:p>
    <w:p w:rsidR="00114F76" w:rsidRPr="00EC249A" w:rsidRDefault="00114F76" w:rsidP="00EC249A">
      <w:pPr>
        <w:spacing w:line="240" w:lineRule="auto"/>
        <w:jc w:val="both"/>
        <w:outlineLvl w:val="0"/>
        <w:rPr>
          <w:rFonts w:ascii="Times New Roman" w:hAnsi="Times New Roman" w:cs="Times New Roman"/>
          <w:b/>
        </w:rPr>
      </w:pPr>
      <w:r>
        <w:rPr>
          <w:rFonts w:ascii="Times New Roman" w:hAnsi="Times New Roman" w:cs="Times New Roman"/>
        </w:rPr>
        <w:t xml:space="preserve">Connecticut needs to answer the particular problems that are causing this out-migration: high taxes, high house prices, and overall living conditions. The </w:t>
      </w:r>
      <w:r w:rsidR="00BB17AD">
        <w:rPr>
          <w:rFonts w:ascii="Times New Roman" w:hAnsi="Times New Roman" w:cs="Times New Roman"/>
        </w:rPr>
        <w:t>S</w:t>
      </w:r>
      <w:r>
        <w:rPr>
          <w:rFonts w:ascii="Times New Roman" w:hAnsi="Times New Roman" w:cs="Times New Roman"/>
        </w:rPr>
        <w:t>tate needs to look towards finding a reasonable way to lower the tax burden on its citizens. The decrease in income tax rates would directly feed back into the state’s economy.</w:t>
      </w:r>
      <w:r w:rsidRPr="008D5CF2">
        <w:rPr>
          <w:rFonts w:ascii="Times New Roman" w:hAnsi="Times New Roman" w:cs="Times New Roman"/>
        </w:rPr>
        <w:t xml:space="preserve"> </w:t>
      </w:r>
      <w:r>
        <w:rPr>
          <w:rFonts w:ascii="Times New Roman" w:hAnsi="Times New Roman" w:cs="Times New Roman"/>
        </w:rPr>
        <w:t xml:space="preserve">The lowering of income taxes would create a “domino effect”.  People would take the extra savings and spend it on various </w:t>
      </w:r>
      <w:r w:rsidR="00F64E9F">
        <w:rPr>
          <w:rFonts w:ascii="Times New Roman" w:hAnsi="Times New Roman" w:cs="Times New Roman"/>
        </w:rPr>
        <w:t>goods and services</w:t>
      </w:r>
      <w:r>
        <w:rPr>
          <w:rFonts w:ascii="Times New Roman" w:hAnsi="Times New Roman" w:cs="Times New Roman"/>
        </w:rPr>
        <w:t>, adding to the demand for different businesses, which in turn would crea</w:t>
      </w:r>
      <w:r w:rsidR="00EC249A">
        <w:rPr>
          <w:rFonts w:ascii="Times New Roman" w:hAnsi="Times New Roman" w:cs="Times New Roman"/>
        </w:rPr>
        <w:t xml:space="preserve">te the need for more employees. </w:t>
      </w:r>
      <w:r>
        <w:rPr>
          <w:rFonts w:ascii="Times New Roman" w:hAnsi="Times New Roman" w:cs="Times New Roman"/>
        </w:rPr>
        <w:t xml:space="preserve">The </w:t>
      </w:r>
      <w:r w:rsidR="00BB17AD">
        <w:rPr>
          <w:rFonts w:ascii="Times New Roman" w:hAnsi="Times New Roman" w:cs="Times New Roman"/>
        </w:rPr>
        <w:t>S</w:t>
      </w:r>
      <w:r>
        <w:rPr>
          <w:rFonts w:ascii="Times New Roman" w:hAnsi="Times New Roman" w:cs="Times New Roman"/>
        </w:rPr>
        <w:t xml:space="preserve">tate </w:t>
      </w:r>
      <w:r w:rsidR="00BB17AD">
        <w:rPr>
          <w:rFonts w:ascii="Times New Roman" w:hAnsi="Times New Roman" w:cs="Times New Roman"/>
        </w:rPr>
        <w:t>would benefit from a program directed at retaining younger workers, as out-migration by this demographic, in response to the high cost of living in the State, is a significant issue.</w:t>
      </w:r>
      <w:r>
        <w:rPr>
          <w:rFonts w:ascii="Times New Roman" w:hAnsi="Times New Roman" w:cs="Times New Roman"/>
        </w:rPr>
        <w:t xml:space="preserve">  </w:t>
      </w:r>
    </w:p>
    <w:sdt>
      <w:sdtPr>
        <w:rPr>
          <w:rFonts w:asciiTheme="minorHAnsi" w:eastAsiaTheme="minorHAnsi" w:hAnsiTheme="minorHAnsi" w:cstheme="minorBidi"/>
          <w:b w:val="0"/>
          <w:bCs w:val="0"/>
          <w:color w:val="auto"/>
          <w:sz w:val="24"/>
          <w:szCs w:val="24"/>
          <w:lang w:bidi="ar-SA"/>
        </w:rPr>
        <w:id w:val="7691575"/>
        <w:docPartObj>
          <w:docPartGallery w:val="Bibliographies"/>
          <w:docPartUnique/>
        </w:docPartObj>
      </w:sdtPr>
      <w:sdtEndPr>
        <w:rPr>
          <w:sz w:val="22"/>
          <w:szCs w:val="22"/>
        </w:rPr>
      </w:sdtEndPr>
      <w:sdtContent>
        <w:p w:rsidR="00114F76" w:rsidRDefault="00114F76" w:rsidP="00114F76">
          <w:pPr>
            <w:pStyle w:val="Heading1"/>
          </w:pPr>
          <w:r>
            <w:t>Works Cited</w:t>
          </w:r>
        </w:p>
        <w:p w:rsidR="00114F76" w:rsidRDefault="007B6F1C" w:rsidP="00114F76">
          <w:pPr>
            <w:pStyle w:val="Bibliography"/>
            <w:rPr>
              <w:rFonts w:cs="Times New Roman"/>
              <w:noProof/>
            </w:rPr>
          </w:pPr>
          <w:r w:rsidRPr="007B6F1C">
            <w:fldChar w:fldCharType="begin"/>
          </w:r>
          <w:r w:rsidR="00114F76">
            <w:instrText xml:space="preserve"> BIBLIOGRAPHY </w:instrText>
          </w:r>
          <w:r w:rsidRPr="007B6F1C">
            <w:fldChar w:fldCharType="separate"/>
          </w:r>
          <w:r w:rsidR="00114F76">
            <w:rPr>
              <w:rFonts w:cs="Times New Roman"/>
              <w:noProof/>
            </w:rPr>
            <w:t xml:space="preserve">Bureau, US Census. </w:t>
          </w:r>
          <w:r w:rsidR="00114F76">
            <w:rPr>
              <w:rFonts w:cs="Times New Roman"/>
              <w:noProof/>
              <w:u w:val="single"/>
            </w:rPr>
            <w:t>Connecticut Population Finder</w:t>
          </w:r>
          <w:r w:rsidR="00114F76">
            <w:rPr>
              <w:rFonts w:cs="Times New Roman"/>
              <w:noProof/>
            </w:rPr>
            <w:t>. 2008.</w:t>
          </w:r>
        </w:p>
        <w:p w:rsidR="00114F76" w:rsidRDefault="00114F76" w:rsidP="00114F76">
          <w:pPr>
            <w:pStyle w:val="Bibliography"/>
            <w:rPr>
              <w:rFonts w:cs="Times New Roman"/>
              <w:noProof/>
            </w:rPr>
          </w:pPr>
          <w:r>
            <w:rPr>
              <w:rFonts w:cs="Times New Roman"/>
              <w:noProof/>
            </w:rPr>
            <w:t xml:space="preserve">Cullen, Fergus. "Out-Migration Weakening Connecticut." </w:t>
          </w:r>
          <w:r>
            <w:rPr>
              <w:rFonts w:cs="Times New Roman"/>
              <w:noProof/>
              <w:u w:val="single"/>
            </w:rPr>
            <w:t>Connecticut Post</w:t>
          </w:r>
          <w:r>
            <w:rPr>
              <w:rFonts w:cs="Times New Roman"/>
              <w:noProof/>
            </w:rPr>
            <w:t xml:space="preserve"> 8 October 2009.</w:t>
          </w:r>
        </w:p>
        <w:p w:rsidR="00114F76" w:rsidRDefault="00114F76" w:rsidP="00114F76">
          <w:pPr>
            <w:pStyle w:val="Bibliography"/>
            <w:rPr>
              <w:rFonts w:cs="Times New Roman"/>
              <w:noProof/>
            </w:rPr>
          </w:pPr>
          <w:r>
            <w:rPr>
              <w:rFonts w:cs="Times New Roman"/>
              <w:noProof/>
            </w:rPr>
            <w:t xml:space="preserve">J. Scott Moody, M.A., and Wendy P. Warcholik, Ph.D. "Last One Out Please Turn Off the Lights." September 2009. </w:t>
          </w:r>
          <w:r>
            <w:rPr>
              <w:rFonts w:cs="Times New Roman"/>
              <w:noProof/>
              <w:u w:val="single"/>
            </w:rPr>
            <w:t>Yankee Institute for Public Policy</w:t>
          </w:r>
          <w:r>
            <w:rPr>
              <w:rFonts w:cs="Times New Roman"/>
              <w:noProof/>
            </w:rPr>
            <w:t>. November 2009 &lt;http://www.yankeeinstitute.org/&gt;.</w:t>
          </w:r>
        </w:p>
        <w:p w:rsidR="007C040F" w:rsidRDefault="007B6F1C" w:rsidP="007C040F">
          <w:r>
            <w:fldChar w:fldCharType="end"/>
          </w:r>
        </w:p>
      </w:sdtContent>
    </w:sdt>
    <w:p w:rsidR="00EC249A" w:rsidRDefault="00EC249A" w:rsidP="007C040F">
      <w:pPr>
        <w:rPr>
          <w:b/>
        </w:rPr>
      </w:pPr>
    </w:p>
    <w:p w:rsidR="00EC249A" w:rsidRDefault="00EC249A" w:rsidP="007C040F">
      <w:pPr>
        <w:rPr>
          <w:b/>
        </w:rPr>
      </w:pPr>
    </w:p>
    <w:p w:rsidR="00EC249A" w:rsidRDefault="00EC249A" w:rsidP="007C040F">
      <w:pPr>
        <w:rPr>
          <w:b/>
        </w:rPr>
      </w:pPr>
    </w:p>
    <w:p w:rsidR="00EC249A" w:rsidRDefault="00EC249A" w:rsidP="007C040F">
      <w:pPr>
        <w:rPr>
          <w:b/>
        </w:rPr>
      </w:pPr>
    </w:p>
    <w:p w:rsidR="00114F76" w:rsidRPr="007C040F" w:rsidRDefault="00FE2247" w:rsidP="007C040F">
      <w:r>
        <w:rPr>
          <w:b/>
        </w:rPr>
        <w:t>Demographics</w:t>
      </w:r>
    </w:p>
    <w:p w:rsidR="00EC249A" w:rsidRDefault="002B11C0" w:rsidP="00BB17AD">
      <w:pPr>
        <w:spacing w:line="240" w:lineRule="auto"/>
        <w:rPr>
          <w:rFonts w:ascii="Times New Roman" w:hAnsi="Times New Roman"/>
          <w:sz w:val="24"/>
          <w:szCs w:val="24"/>
        </w:rPr>
      </w:pPr>
      <w:r>
        <w:rPr>
          <w:rFonts w:ascii="Times New Roman" w:hAnsi="Times New Roman"/>
          <w:sz w:val="24"/>
          <w:szCs w:val="24"/>
        </w:rPr>
        <w:t xml:space="preserve">The Connecticut labor force is significantly older than the U.S. labor force as a whole, and that trend is likely to continue into the future. </w:t>
      </w:r>
      <w:r w:rsidR="00114F76" w:rsidRPr="00AE29AE">
        <w:rPr>
          <w:rFonts w:ascii="Times New Roman" w:hAnsi="Times New Roman"/>
          <w:sz w:val="24"/>
          <w:szCs w:val="24"/>
        </w:rPr>
        <w:t xml:space="preserve"> </w:t>
      </w:r>
      <w:r w:rsidR="00114F76">
        <w:rPr>
          <w:rFonts w:ascii="Times New Roman" w:hAnsi="Times New Roman"/>
          <w:sz w:val="24"/>
          <w:szCs w:val="24"/>
        </w:rPr>
        <w:t>O</w:t>
      </w:r>
      <w:r w:rsidR="00114F76" w:rsidRPr="00AE29AE">
        <w:rPr>
          <w:rFonts w:ascii="Times New Roman" w:hAnsi="Times New Roman"/>
          <w:sz w:val="24"/>
          <w:szCs w:val="24"/>
        </w:rPr>
        <w:t xml:space="preserve">f the </w:t>
      </w:r>
      <w:r w:rsidR="00114F76">
        <w:rPr>
          <w:rFonts w:ascii="Times New Roman" w:hAnsi="Times New Roman"/>
          <w:sz w:val="24"/>
          <w:szCs w:val="24"/>
        </w:rPr>
        <w:t xml:space="preserve">estimated </w:t>
      </w:r>
      <w:r w:rsidR="00114F76" w:rsidRPr="00AE29AE">
        <w:rPr>
          <w:rFonts w:ascii="Times New Roman" w:hAnsi="Times New Roman"/>
          <w:sz w:val="24"/>
          <w:szCs w:val="24"/>
        </w:rPr>
        <w:t xml:space="preserve">3,501,252 people in Connecticut 13.7 percent are over the age of 65 (senior citizens). The national average </w:t>
      </w:r>
      <w:r w:rsidR="00114F76">
        <w:rPr>
          <w:rFonts w:ascii="Times New Roman" w:hAnsi="Times New Roman"/>
          <w:sz w:val="24"/>
          <w:szCs w:val="24"/>
        </w:rPr>
        <w:t xml:space="preserve">is </w:t>
      </w:r>
      <w:r w:rsidR="00114F76" w:rsidRPr="00AE29AE">
        <w:rPr>
          <w:rFonts w:ascii="Times New Roman" w:hAnsi="Times New Roman"/>
          <w:sz w:val="24"/>
          <w:szCs w:val="24"/>
        </w:rPr>
        <w:t xml:space="preserve">12.6 percent, so in accordance to the rest of the </w:t>
      </w:r>
      <w:r w:rsidR="00114F76">
        <w:rPr>
          <w:rFonts w:ascii="Times New Roman" w:hAnsi="Times New Roman"/>
          <w:sz w:val="24"/>
          <w:szCs w:val="24"/>
        </w:rPr>
        <w:t xml:space="preserve">nation our state is </w:t>
      </w:r>
      <w:r w:rsidR="00EC249A">
        <w:rPr>
          <w:rFonts w:ascii="Times New Roman" w:hAnsi="Times New Roman"/>
          <w:sz w:val="24"/>
          <w:szCs w:val="24"/>
        </w:rPr>
        <w:t>aging (see below)</w:t>
      </w:r>
    </w:p>
    <w:p w:rsidR="00114F76" w:rsidRPr="00AE29AE" w:rsidRDefault="00EC249A" w:rsidP="00BB17AD">
      <w:pPr>
        <w:spacing w:line="240" w:lineRule="auto"/>
        <w:rPr>
          <w:rFonts w:ascii="Times New Roman" w:hAnsi="Times New Roman"/>
          <w:sz w:val="24"/>
          <w:szCs w:val="24"/>
        </w:rPr>
      </w:pPr>
      <w:r>
        <w:rPr>
          <w:rFonts w:ascii="Times New Roman" w:hAnsi="Times New Roman"/>
          <w:sz w:val="24"/>
          <w:szCs w:val="24"/>
        </w:rPr>
        <w:t>.</w:t>
      </w:r>
    </w:p>
    <w:p w:rsidR="00114F76" w:rsidRPr="00506C65" w:rsidRDefault="00114F76" w:rsidP="00114F76">
      <w:pPr>
        <w:spacing w:after="0" w:line="240" w:lineRule="auto"/>
        <w:rPr>
          <w:rFonts w:eastAsia="Times New Roman"/>
          <w:sz w:val="28"/>
          <w:szCs w:val="28"/>
          <w:u w:val="single"/>
        </w:rPr>
      </w:pPr>
      <w:r w:rsidRPr="00506C65">
        <w:rPr>
          <w:rFonts w:eastAsia="Times New Roman"/>
          <w:sz w:val="28"/>
          <w:szCs w:val="28"/>
          <w:u w:val="single"/>
        </w:rPr>
        <w:lastRenderedPageBreak/>
        <w:t>Connecticut:</w:t>
      </w:r>
    </w:p>
    <w:p w:rsidR="00114F76" w:rsidRDefault="00114F76" w:rsidP="00114F76">
      <w:pPr>
        <w:spacing w:after="0" w:line="240" w:lineRule="auto"/>
        <w:rPr>
          <w:rFonts w:eastAsia="Times New Roman"/>
        </w:rPr>
      </w:pPr>
      <w:r w:rsidRPr="006F5480">
        <w:rPr>
          <w:rFonts w:eastAsia="Times New Roman"/>
        </w:rPr>
        <w:t>Land area, 2000 (square miles)</w:t>
      </w:r>
      <w:r>
        <w:rPr>
          <w:rFonts w:eastAsia="Times New Roman"/>
        </w:rPr>
        <w:t xml:space="preserve"> Conn -</w:t>
      </w:r>
      <w:r w:rsidRPr="006F5480">
        <w:rPr>
          <w:rFonts w:eastAsia="Times New Roman"/>
        </w:rPr>
        <w:t xml:space="preserve"> 4,844.80</w:t>
      </w:r>
      <w:r>
        <w:rPr>
          <w:rFonts w:eastAsia="Times New Roman"/>
        </w:rPr>
        <w:t xml:space="preserve"> U.S. - </w:t>
      </w:r>
      <w:r w:rsidRPr="006F5480">
        <w:rPr>
          <w:rFonts w:eastAsia="Times New Roman"/>
        </w:rPr>
        <w:t xml:space="preserve">3,537,438.44 </w:t>
      </w:r>
    </w:p>
    <w:p w:rsidR="00114F76" w:rsidRDefault="00114F76" w:rsidP="00114F76">
      <w:pPr>
        <w:spacing w:after="0" w:line="240" w:lineRule="auto"/>
        <w:rPr>
          <w:rFonts w:eastAsia="Times New Roman"/>
        </w:rPr>
      </w:pPr>
      <w:r w:rsidRPr="006F5480">
        <w:rPr>
          <w:rFonts w:eastAsia="Times New Roman"/>
        </w:rPr>
        <w:t>Persons per square mile, 2000</w:t>
      </w:r>
      <w:r>
        <w:rPr>
          <w:rFonts w:eastAsia="Times New Roman"/>
        </w:rPr>
        <w:t xml:space="preserve"> Conn -</w:t>
      </w:r>
      <w:r w:rsidRPr="006F5480">
        <w:rPr>
          <w:rFonts w:eastAsia="Times New Roman"/>
        </w:rPr>
        <w:t xml:space="preserve"> 702.9</w:t>
      </w:r>
      <w:r>
        <w:rPr>
          <w:rFonts w:eastAsia="Times New Roman"/>
        </w:rPr>
        <w:t xml:space="preserve"> U.S. - </w:t>
      </w:r>
      <w:r w:rsidRPr="006F5480">
        <w:rPr>
          <w:rFonts w:eastAsia="Times New Roman"/>
        </w:rPr>
        <w:t>79.6</w:t>
      </w:r>
    </w:p>
    <w:p w:rsidR="00114F76" w:rsidRDefault="00114F76" w:rsidP="00114F76">
      <w:pPr>
        <w:spacing w:after="0" w:line="240" w:lineRule="auto"/>
        <w:rPr>
          <w:rFonts w:eastAsia="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18"/>
        <w:gridCol w:w="1800"/>
        <w:gridCol w:w="1458"/>
      </w:tblGrid>
      <w:tr w:rsidR="00114F76" w:rsidRPr="00967388" w:rsidTr="007D2692">
        <w:tc>
          <w:tcPr>
            <w:tcW w:w="6318"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Info</w:t>
            </w:r>
          </w:p>
        </w:tc>
        <w:tc>
          <w:tcPr>
            <w:tcW w:w="1800"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Connecticut</w:t>
            </w:r>
          </w:p>
        </w:tc>
        <w:tc>
          <w:tcPr>
            <w:tcW w:w="1458"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U.S.</w:t>
            </w:r>
          </w:p>
        </w:tc>
      </w:tr>
      <w:tr w:rsidR="00114F76" w:rsidRPr="00967388" w:rsidTr="007D2692">
        <w:trPr>
          <w:trHeight w:val="395"/>
        </w:trPr>
        <w:tc>
          <w:tcPr>
            <w:tcW w:w="6318"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Population, 2008 estimate</w:t>
            </w:r>
          </w:p>
        </w:tc>
        <w:tc>
          <w:tcPr>
            <w:tcW w:w="1800"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3,501,252</w:t>
            </w:r>
          </w:p>
        </w:tc>
        <w:tc>
          <w:tcPr>
            <w:tcW w:w="1458"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304,059,724</w:t>
            </w:r>
          </w:p>
        </w:tc>
      </w:tr>
      <w:tr w:rsidR="00114F76" w:rsidRPr="00967388" w:rsidTr="007D2692">
        <w:trPr>
          <w:trHeight w:val="440"/>
        </w:trPr>
        <w:tc>
          <w:tcPr>
            <w:tcW w:w="6318"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Population, percent change, April 1, 2000 to July 1, 2008</w:t>
            </w:r>
          </w:p>
        </w:tc>
        <w:tc>
          <w:tcPr>
            <w:tcW w:w="1800"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2.8%</w:t>
            </w:r>
          </w:p>
        </w:tc>
        <w:tc>
          <w:tcPr>
            <w:tcW w:w="1458"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8.0%</w:t>
            </w:r>
          </w:p>
        </w:tc>
      </w:tr>
      <w:tr w:rsidR="00114F76" w:rsidRPr="00967388" w:rsidTr="007D2692">
        <w:trPr>
          <w:trHeight w:val="440"/>
        </w:trPr>
        <w:tc>
          <w:tcPr>
            <w:tcW w:w="6318"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Population estimates base (April 1) 2000</w:t>
            </w:r>
          </w:p>
        </w:tc>
        <w:tc>
          <w:tcPr>
            <w:tcW w:w="1800"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3,405,604</w:t>
            </w:r>
          </w:p>
        </w:tc>
        <w:tc>
          <w:tcPr>
            <w:tcW w:w="1458"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281,424,602</w:t>
            </w:r>
          </w:p>
        </w:tc>
      </w:tr>
      <w:tr w:rsidR="00114F76" w:rsidRPr="00967388" w:rsidTr="007D2692">
        <w:trPr>
          <w:trHeight w:val="440"/>
        </w:trPr>
        <w:tc>
          <w:tcPr>
            <w:tcW w:w="6318"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Persons under 5 years old, percent, 2008</w:t>
            </w:r>
          </w:p>
        </w:tc>
        <w:tc>
          <w:tcPr>
            <w:tcW w:w="1800"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6.0%</w:t>
            </w:r>
          </w:p>
        </w:tc>
        <w:tc>
          <w:tcPr>
            <w:tcW w:w="1458"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6.9%</w:t>
            </w:r>
          </w:p>
        </w:tc>
      </w:tr>
      <w:tr w:rsidR="00114F76" w:rsidRPr="00967388" w:rsidTr="007D2692">
        <w:trPr>
          <w:trHeight w:val="440"/>
        </w:trPr>
        <w:tc>
          <w:tcPr>
            <w:tcW w:w="6318"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Persons under 18 years old, percent, 2008</w:t>
            </w:r>
          </w:p>
        </w:tc>
        <w:tc>
          <w:tcPr>
            <w:tcW w:w="1800"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23.2%</w:t>
            </w:r>
          </w:p>
        </w:tc>
        <w:tc>
          <w:tcPr>
            <w:tcW w:w="1458"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24.3%</w:t>
            </w:r>
          </w:p>
        </w:tc>
      </w:tr>
      <w:tr w:rsidR="00114F76" w:rsidRPr="00967388" w:rsidTr="007D2692">
        <w:trPr>
          <w:trHeight w:val="440"/>
        </w:trPr>
        <w:tc>
          <w:tcPr>
            <w:tcW w:w="6318"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Persons 65 years old and over, percent, 2008</w:t>
            </w:r>
          </w:p>
        </w:tc>
        <w:tc>
          <w:tcPr>
            <w:tcW w:w="1800"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13.7%</w:t>
            </w:r>
          </w:p>
        </w:tc>
        <w:tc>
          <w:tcPr>
            <w:tcW w:w="1458" w:type="dxa"/>
          </w:tcPr>
          <w:p w:rsidR="00114F76" w:rsidRPr="00967388" w:rsidRDefault="00114F76" w:rsidP="007D2692">
            <w:pPr>
              <w:spacing w:after="0" w:line="240" w:lineRule="auto"/>
              <w:rPr>
                <w:rFonts w:ascii="Times New Roman" w:hAnsi="Times New Roman"/>
                <w:sz w:val="24"/>
                <w:szCs w:val="24"/>
              </w:rPr>
            </w:pPr>
            <w:r w:rsidRPr="00967388">
              <w:rPr>
                <w:rFonts w:ascii="Times New Roman" w:hAnsi="Times New Roman"/>
                <w:sz w:val="24"/>
                <w:szCs w:val="24"/>
              </w:rPr>
              <w:t>12.8%</w:t>
            </w:r>
          </w:p>
        </w:tc>
      </w:tr>
    </w:tbl>
    <w:p w:rsidR="00114F76" w:rsidRPr="006A4197" w:rsidRDefault="00114F76" w:rsidP="00114F76">
      <w:pPr>
        <w:rPr>
          <w:sz w:val="16"/>
          <w:szCs w:val="16"/>
        </w:rPr>
      </w:pPr>
      <w:r w:rsidRPr="006A4197">
        <w:rPr>
          <w:rStyle w:val="FootnoteReference"/>
          <w:sz w:val="16"/>
          <w:szCs w:val="16"/>
        </w:rPr>
        <w:t xml:space="preserve">Source </w:t>
      </w:r>
      <w:r w:rsidRPr="006A4197">
        <w:rPr>
          <w:sz w:val="16"/>
          <w:szCs w:val="16"/>
        </w:rPr>
        <w:t>http://quickfacts.census.gov/qfd/states/09000.html</w:t>
      </w:r>
    </w:p>
    <w:p w:rsidR="00114F76" w:rsidRDefault="00BB17AD" w:rsidP="00CF3CD9">
      <w:pPr>
        <w:spacing w:line="240" w:lineRule="auto"/>
        <w:rPr>
          <w:rFonts w:ascii="Times New Roman" w:hAnsi="Times New Roman"/>
          <w:sz w:val="24"/>
          <w:szCs w:val="24"/>
        </w:rPr>
      </w:pPr>
      <w:r>
        <w:rPr>
          <w:rFonts w:ascii="Times New Roman" w:hAnsi="Times New Roman"/>
          <w:sz w:val="24"/>
          <w:szCs w:val="24"/>
        </w:rPr>
        <w:t>Only 6 percent of Connecticut’s residents are</w:t>
      </w:r>
      <w:r w:rsidR="00114F76" w:rsidRPr="00AE29AE">
        <w:rPr>
          <w:rFonts w:ascii="Times New Roman" w:hAnsi="Times New Roman"/>
          <w:sz w:val="24"/>
          <w:szCs w:val="24"/>
        </w:rPr>
        <w:t xml:space="preserve"> children under the age of five, while the national average is 6.9 percent.</w:t>
      </w:r>
      <w:r w:rsidR="00114F76" w:rsidRPr="00606754">
        <w:rPr>
          <w:rStyle w:val="FootnoteReference"/>
          <w:rFonts w:ascii="Times New Roman" w:hAnsi="Times New Roman"/>
          <w:sz w:val="24"/>
          <w:szCs w:val="24"/>
        </w:rPr>
        <w:t xml:space="preserve"> </w:t>
      </w:r>
      <w:r w:rsidR="00114F76" w:rsidRPr="00AE29AE">
        <w:rPr>
          <w:rFonts w:ascii="Times New Roman" w:hAnsi="Times New Roman"/>
          <w:sz w:val="24"/>
          <w:szCs w:val="24"/>
        </w:rPr>
        <w:t xml:space="preserve"> This shows that Con</w:t>
      </w:r>
      <w:r w:rsidR="00114F76">
        <w:rPr>
          <w:rFonts w:ascii="Times New Roman" w:hAnsi="Times New Roman"/>
          <w:sz w:val="24"/>
          <w:szCs w:val="24"/>
        </w:rPr>
        <w:t>necticut does not have as high birth rates as other states.</w:t>
      </w:r>
      <w:r w:rsidR="00114F76" w:rsidRPr="00AE29AE">
        <w:rPr>
          <w:rFonts w:ascii="Times New Roman" w:hAnsi="Times New Roman"/>
          <w:sz w:val="24"/>
          <w:szCs w:val="24"/>
        </w:rPr>
        <w:t xml:space="preserve"> The </w:t>
      </w:r>
      <w:r w:rsidR="002B11C0">
        <w:rPr>
          <w:rFonts w:ascii="Times New Roman" w:hAnsi="Times New Roman"/>
          <w:sz w:val="24"/>
          <w:szCs w:val="24"/>
        </w:rPr>
        <w:t>most problematic</w:t>
      </w:r>
      <w:r w:rsidR="00114F76" w:rsidRPr="00AE29AE">
        <w:rPr>
          <w:rFonts w:ascii="Times New Roman" w:hAnsi="Times New Roman"/>
          <w:sz w:val="24"/>
          <w:szCs w:val="24"/>
        </w:rPr>
        <w:t xml:space="preserve"> demographic is the actual change in the population from 2000 to 2008. Connecticut’</w:t>
      </w:r>
      <w:r w:rsidR="00114F76">
        <w:rPr>
          <w:rFonts w:ascii="Times New Roman" w:hAnsi="Times New Roman"/>
          <w:sz w:val="24"/>
          <w:szCs w:val="24"/>
        </w:rPr>
        <w:t>s population has only grown</w:t>
      </w:r>
      <w:r w:rsidR="00114F76" w:rsidRPr="00AE29AE">
        <w:rPr>
          <w:rFonts w:ascii="Times New Roman" w:hAnsi="Times New Roman"/>
          <w:sz w:val="24"/>
          <w:szCs w:val="24"/>
        </w:rPr>
        <w:t xml:space="preserve"> 2.8 percent, while the national average of population change is 8 percent</w:t>
      </w:r>
      <w:r w:rsidR="002B11C0">
        <w:rPr>
          <w:rFonts w:ascii="Times New Roman" w:hAnsi="Times New Roman"/>
          <w:sz w:val="24"/>
          <w:szCs w:val="24"/>
        </w:rPr>
        <w:t>.</w:t>
      </w:r>
      <w:r w:rsidR="00114F76" w:rsidRPr="00606754">
        <w:rPr>
          <w:rStyle w:val="FootnoteReference"/>
          <w:rFonts w:ascii="Times New Roman" w:hAnsi="Times New Roman"/>
          <w:sz w:val="24"/>
          <w:szCs w:val="24"/>
        </w:rPr>
        <w:t xml:space="preserve"> </w:t>
      </w:r>
      <w:r w:rsidR="00114F76">
        <w:rPr>
          <w:rFonts w:ascii="Times New Roman" w:hAnsi="Times New Roman"/>
          <w:sz w:val="24"/>
          <w:szCs w:val="24"/>
        </w:rPr>
        <w:t xml:space="preserve"> Connecticut’s birth rate is only 11.9/1000 people, while neighboring states New Jersey is 13.4/1000, New York is 13.1/1000, and Massachusetts is 12.1/1000 people. This gives Connecticut one of the lowe</w:t>
      </w:r>
      <w:r w:rsidR="00CF3CD9">
        <w:rPr>
          <w:rFonts w:ascii="Times New Roman" w:hAnsi="Times New Roman"/>
          <w:sz w:val="24"/>
          <w:szCs w:val="24"/>
        </w:rPr>
        <w:t>st birth rates in the northeast.</w:t>
      </w:r>
    </w:p>
    <w:p w:rsidR="00114F76" w:rsidRDefault="00114F76" w:rsidP="00CF3CD9">
      <w:pPr>
        <w:spacing w:line="240" w:lineRule="auto"/>
        <w:rPr>
          <w:rFonts w:ascii="Times New Roman" w:hAnsi="Times New Roman"/>
          <w:sz w:val="24"/>
          <w:szCs w:val="24"/>
        </w:rPr>
      </w:pPr>
      <w:r>
        <w:rPr>
          <w:rFonts w:ascii="Times New Roman" w:hAnsi="Times New Roman"/>
          <w:sz w:val="24"/>
          <w:szCs w:val="24"/>
        </w:rPr>
        <w:t xml:space="preserve">Since 1999, </w:t>
      </w:r>
      <w:r w:rsidR="00A372C2">
        <w:rPr>
          <w:rFonts w:ascii="Times New Roman" w:hAnsi="Times New Roman"/>
          <w:sz w:val="24"/>
          <w:szCs w:val="24"/>
        </w:rPr>
        <w:t>non-farm</w:t>
      </w:r>
      <w:r>
        <w:rPr>
          <w:rFonts w:ascii="Times New Roman" w:hAnsi="Times New Roman"/>
          <w:sz w:val="24"/>
          <w:szCs w:val="24"/>
        </w:rPr>
        <w:t xml:space="preserve"> employment sectors in the state of Connecticut </w:t>
      </w:r>
      <w:r w:rsidR="00A372C2">
        <w:rPr>
          <w:rFonts w:ascii="Times New Roman" w:hAnsi="Times New Roman"/>
          <w:sz w:val="24"/>
          <w:szCs w:val="24"/>
        </w:rPr>
        <w:t>has gone</w:t>
      </w:r>
      <w:r>
        <w:rPr>
          <w:rFonts w:ascii="Times New Roman" w:hAnsi="Times New Roman"/>
          <w:sz w:val="24"/>
          <w:szCs w:val="24"/>
        </w:rPr>
        <w:t xml:space="preserve"> from 1660.9 thousand employees, to a</w:t>
      </w:r>
      <w:r w:rsidR="00A372C2">
        <w:rPr>
          <w:rFonts w:ascii="Times New Roman" w:hAnsi="Times New Roman"/>
          <w:sz w:val="24"/>
          <w:szCs w:val="24"/>
        </w:rPr>
        <w:t xml:space="preserve"> </w:t>
      </w:r>
      <w:r>
        <w:rPr>
          <w:rFonts w:ascii="Times New Roman" w:hAnsi="Times New Roman"/>
          <w:sz w:val="24"/>
          <w:szCs w:val="24"/>
        </w:rPr>
        <w:t>low (September 2009) of 1623 thousand employees. Connecticut’s strongest point of employment occurred in January of 2008 when the state had 1708.6 thousand employees. In a matter of just 20 months Connecticut lost nearly 100,000 employees</w:t>
      </w:r>
      <w:r w:rsidR="00A372C2">
        <w:rPr>
          <w:rFonts w:ascii="Times New Roman" w:hAnsi="Times New Roman"/>
          <w:sz w:val="24"/>
          <w:szCs w:val="24"/>
        </w:rPr>
        <w:t>, reflecting the impact of the current, very deep, recession.</w:t>
      </w:r>
      <w:r w:rsidR="00A372C2" w:rsidRPr="00CF3CD9">
        <w:rPr>
          <w:rFonts w:ascii="Times New Roman" w:hAnsi="Times New Roman"/>
          <w:sz w:val="24"/>
          <w:szCs w:val="24"/>
          <w:vertAlign w:val="superscript"/>
        </w:rPr>
        <w:t>l</w:t>
      </w:r>
    </w:p>
    <w:p w:rsidR="00A372C2" w:rsidRDefault="00A372C2" w:rsidP="006B694C">
      <w:pPr>
        <w:spacing w:line="240" w:lineRule="auto"/>
        <w:rPr>
          <w:rFonts w:ascii="Times New Roman" w:hAnsi="Times New Roman"/>
          <w:sz w:val="24"/>
          <w:szCs w:val="24"/>
        </w:rPr>
      </w:pPr>
      <w:r>
        <w:rPr>
          <w:rFonts w:ascii="Times New Roman" w:hAnsi="Times New Roman"/>
          <w:sz w:val="24"/>
          <w:szCs w:val="24"/>
        </w:rPr>
        <w:t xml:space="preserve">Large declines in employment can be seen in </w:t>
      </w:r>
      <w:r w:rsidR="00114F76">
        <w:rPr>
          <w:rFonts w:ascii="Times New Roman" w:hAnsi="Times New Roman"/>
          <w:sz w:val="24"/>
          <w:szCs w:val="24"/>
        </w:rPr>
        <w:t xml:space="preserve"> the past 10 years </w:t>
      </w:r>
      <w:r>
        <w:rPr>
          <w:rFonts w:ascii="Times New Roman" w:hAnsi="Times New Roman"/>
          <w:sz w:val="24"/>
          <w:szCs w:val="24"/>
        </w:rPr>
        <w:t xml:space="preserve">in </w:t>
      </w:r>
      <w:r w:rsidR="00114F76">
        <w:rPr>
          <w:rFonts w:ascii="Times New Roman" w:hAnsi="Times New Roman"/>
          <w:sz w:val="24"/>
          <w:szCs w:val="24"/>
        </w:rPr>
        <w:t>Trade Transportation and Utility. At the beginning of 1999 it employed 311.4 thousand people, now just ten years later it only employs 291.8 employees.</w:t>
      </w:r>
      <w:r w:rsidR="00114F76" w:rsidRPr="00E165DA">
        <w:rPr>
          <w:rStyle w:val="FootnoteReference"/>
          <w:rFonts w:ascii="Times New Roman" w:hAnsi="Times New Roman"/>
          <w:sz w:val="24"/>
          <w:szCs w:val="24"/>
        </w:rPr>
        <w:t xml:space="preserve"> </w:t>
      </w:r>
      <w:r w:rsidR="00114F76">
        <w:rPr>
          <w:rFonts w:ascii="Times New Roman" w:hAnsi="Times New Roman"/>
          <w:sz w:val="24"/>
          <w:szCs w:val="24"/>
        </w:rPr>
        <w:t xml:space="preserve"> The employment sector with the highest amount of workers is Education and Health Services. Health and Education employs 303.2 thousand workers, and is on the rise.</w:t>
      </w:r>
      <w:r w:rsidR="00114F76" w:rsidRPr="00E165DA">
        <w:rPr>
          <w:rStyle w:val="FootnoteReference"/>
          <w:rFonts w:ascii="Times New Roman" w:hAnsi="Times New Roman"/>
          <w:sz w:val="24"/>
          <w:szCs w:val="24"/>
        </w:rPr>
        <w:t xml:space="preserve"> </w:t>
      </w:r>
      <w:r w:rsidR="00114F76">
        <w:rPr>
          <w:rFonts w:ascii="Times New Roman" w:hAnsi="Times New Roman"/>
          <w:sz w:val="24"/>
          <w:szCs w:val="24"/>
        </w:rPr>
        <w:t xml:space="preserve"> In January of 1999, this sector only employed 238.4 people.</w:t>
      </w:r>
      <w:r>
        <w:rPr>
          <w:rFonts w:ascii="Times New Roman" w:hAnsi="Times New Roman"/>
          <w:sz w:val="24"/>
          <w:szCs w:val="24"/>
        </w:rPr>
        <w:t xml:space="preserve"> </w:t>
      </w:r>
      <w:r w:rsidR="00114F76">
        <w:rPr>
          <w:rStyle w:val="FootnoteReference"/>
          <w:rFonts w:ascii="Times New Roman" w:hAnsi="Times New Roman"/>
          <w:sz w:val="24"/>
          <w:szCs w:val="24"/>
        </w:rPr>
        <w:t xml:space="preserve"> </w:t>
      </w:r>
      <w:r w:rsidR="00114F76">
        <w:rPr>
          <w:rFonts w:ascii="Times New Roman" w:hAnsi="Times New Roman"/>
          <w:sz w:val="24"/>
          <w:szCs w:val="24"/>
        </w:rPr>
        <w:t>This is a very good sign for the state of Connecticut. Many adults in Connecticut are going back to college because of the recession, and this will make the sector grow even more. Hopefully students looking for jobs, especially teachers will stay in Connecticut to work after they graduate because of how quickly this sector is growing, and the potential opportunities it presents. Another fast growing sector is the Leisure and Hospitality sector, since 1999 it has gained more than 30 thousand employees, and just like Health and Education, it employs the highest number of people it has in 10 years.</w:t>
      </w:r>
      <w:r w:rsidR="00114F76" w:rsidRPr="00E165DA">
        <w:rPr>
          <w:rStyle w:val="FootnoteReference"/>
          <w:rFonts w:ascii="Times New Roman" w:hAnsi="Times New Roman"/>
          <w:sz w:val="24"/>
          <w:szCs w:val="24"/>
        </w:rPr>
        <w:t xml:space="preserve"> </w:t>
      </w:r>
      <w:r w:rsidR="00114F76">
        <w:rPr>
          <w:rFonts w:ascii="Times New Roman" w:hAnsi="Times New Roman"/>
          <w:sz w:val="24"/>
          <w:szCs w:val="24"/>
        </w:rPr>
        <w:t>These two sectors give Connecticut a beam of hope and it looks like more people in Connecticut will try to get jobs in these sectors.</w:t>
      </w:r>
    </w:p>
    <w:p w:rsidR="0062209B" w:rsidRDefault="00114F76" w:rsidP="00BB2634">
      <w:pPr>
        <w:spacing w:line="240" w:lineRule="auto"/>
        <w:rPr>
          <w:rFonts w:ascii="Times New Roman" w:hAnsi="Times New Roman"/>
          <w:sz w:val="24"/>
          <w:szCs w:val="24"/>
        </w:rPr>
      </w:pPr>
      <w:r>
        <w:rPr>
          <w:rFonts w:ascii="Times New Roman" w:hAnsi="Times New Roman"/>
          <w:sz w:val="24"/>
          <w:szCs w:val="24"/>
        </w:rPr>
        <w:t>Connecticut demographics</w:t>
      </w:r>
      <w:r w:rsidR="00755467">
        <w:rPr>
          <w:rFonts w:ascii="Times New Roman" w:hAnsi="Times New Roman"/>
          <w:sz w:val="24"/>
          <w:szCs w:val="24"/>
        </w:rPr>
        <w:t xml:space="preserve"> vary widely by region</w:t>
      </w:r>
      <w:r>
        <w:rPr>
          <w:rFonts w:ascii="Times New Roman" w:hAnsi="Times New Roman"/>
          <w:sz w:val="24"/>
          <w:szCs w:val="24"/>
        </w:rPr>
        <w:t xml:space="preserve">. Fairfield County as a whole is the youngest county in Connecticut. 24.9 percent of the county is under the age of 18, while just 23.2 percent of the state of Connecticut is under 18. 61.9 percent of Fairfield County consists of people from </w:t>
      </w:r>
      <w:r>
        <w:rPr>
          <w:rFonts w:ascii="Times New Roman" w:hAnsi="Times New Roman"/>
          <w:sz w:val="24"/>
          <w:szCs w:val="24"/>
        </w:rPr>
        <w:lastRenderedPageBreak/>
        <w:t xml:space="preserve">the age of 18-65, while 63.1 percent of the state of Connecticut consists of people from the age of 18-65.  Litchfield is the oldest county with 14.7 percent of the people being over the age of 65. If you are a young man looking for a job, Litchfield County may be the place to be simply because there is less competition. While in Fairfield, there are many ounger people looking for job’s resulting in more competition. The county with the highest percentage of people from age 18-65 is Tolland County. This county has 69.1 percent of their people ranging from the age of 18-65. That is over seven points higher than the average for the state of Connecticut. </w:t>
      </w:r>
    </w:p>
    <w:p w:rsidR="0062209B" w:rsidRPr="0000671B" w:rsidRDefault="0000671B" w:rsidP="007C040F">
      <w:pPr>
        <w:spacing w:line="480" w:lineRule="auto"/>
        <w:rPr>
          <w:rFonts w:ascii="Times New Roman" w:hAnsi="Times New Roman"/>
          <w:b/>
          <w:sz w:val="24"/>
          <w:szCs w:val="24"/>
        </w:rPr>
      </w:pPr>
      <w:r>
        <w:rPr>
          <w:rFonts w:ascii="Times New Roman" w:hAnsi="Times New Roman"/>
          <w:b/>
          <w:sz w:val="24"/>
          <w:szCs w:val="24"/>
        </w:rPr>
        <w:t>Works Cited</w:t>
      </w:r>
    </w:p>
    <w:p w:rsidR="00114F76" w:rsidRPr="00587F95" w:rsidRDefault="00114F76" w:rsidP="007C040F">
      <w:pPr>
        <w:spacing w:line="480" w:lineRule="auto"/>
        <w:rPr>
          <w:rFonts w:ascii="Times New Roman" w:hAnsi="Times New Roman"/>
          <w:sz w:val="24"/>
          <w:szCs w:val="24"/>
        </w:rPr>
      </w:pPr>
      <w:r w:rsidRPr="00587F95">
        <w:rPr>
          <w:rFonts w:ascii="Times New Roman" w:hAnsi="Times New Roman"/>
          <w:sz w:val="24"/>
          <w:szCs w:val="24"/>
        </w:rPr>
        <w:t xml:space="preserve">"Connecticut Labor Force Data for Labor Market Areas and Towns." </w:t>
      </w:r>
      <w:r w:rsidRPr="00587F95">
        <w:rPr>
          <w:rFonts w:ascii="Times New Roman" w:hAnsi="Times New Roman"/>
          <w:i/>
          <w:iCs/>
          <w:sz w:val="24"/>
          <w:szCs w:val="24"/>
        </w:rPr>
        <w:t xml:space="preserve">Connecticut Department of </w:t>
      </w:r>
      <w:r>
        <w:rPr>
          <w:rFonts w:ascii="Times New Roman" w:hAnsi="Times New Roman"/>
          <w:i/>
          <w:iCs/>
          <w:sz w:val="24"/>
          <w:szCs w:val="24"/>
        </w:rPr>
        <w:tab/>
        <w:t>Labor</w:t>
      </w:r>
      <w:r w:rsidRPr="00587F95">
        <w:rPr>
          <w:rFonts w:ascii="Times New Roman" w:hAnsi="Times New Roman"/>
          <w:i/>
          <w:iCs/>
          <w:sz w:val="24"/>
          <w:szCs w:val="24"/>
        </w:rPr>
        <w:t xml:space="preserve"> Office of Research</w:t>
      </w:r>
      <w:r w:rsidRPr="00587F95">
        <w:rPr>
          <w:rFonts w:ascii="Times New Roman" w:hAnsi="Times New Roman"/>
          <w:sz w:val="24"/>
          <w:szCs w:val="24"/>
        </w:rPr>
        <w:t>. 20 Nov 2009. Connecticut Department of Labor, Web. 25 Nov</w:t>
      </w:r>
      <w:r>
        <w:rPr>
          <w:rFonts w:ascii="Times New Roman" w:hAnsi="Times New Roman"/>
          <w:sz w:val="24"/>
          <w:szCs w:val="24"/>
        </w:rPr>
        <w:tab/>
      </w:r>
      <w:r>
        <w:rPr>
          <w:rFonts w:ascii="Times New Roman" w:hAnsi="Times New Roman"/>
          <w:sz w:val="24"/>
          <w:szCs w:val="24"/>
        </w:rPr>
        <w:tab/>
      </w:r>
      <w:r w:rsidRPr="00587F95">
        <w:rPr>
          <w:rFonts w:ascii="Times New Roman" w:hAnsi="Times New Roman"/>
          <w:sz w:val="24"/>
          <w:szCs w:val="24"/>
        </w:rPr>
        <w:t xml:space="preserve"> 2009. </w:t>
      </w:r>
      <w:r w:rsidRPr="00587F95">
        <w:rPr>
          <w:rFonts w:ascii="Times New Roman" w:hAnsi="Times New Roman"/>
          <w:sz w:val="24"/>
          <w:szCs w:val="24"/>
        </w:rPr>
        <w:tab/>
        <w:t>&lt;http://www.ctdol.state.ct.us/lmi/laus/laus.pdf&gt;.</w:t>
      </w:r>
    </w:p>
    <w:p w:rsidR="00114F76" w:rsidRPr="00587F95" w:rsidRDefault="00114F76" w:rsidP="006B694C">
      <w:pPr>
        <w:spacing w:line="240" w:lineRule="auto"/>
        <w:rPr>
          <w:rFonts w:ascii="Times New Roman" w:hAnsi="Times New Roman"/>
          <w:sz w:val="24"/>
          <w:szCs w:val="24"/>
        </w:rPr>
      </w:pPr>
      <w:r w:rsidRPr="00587F95">
        <w:rPr>
          <w:rFonts w:ascii="Times New Roman" w:hAnsi="Times New Roman"/>
          <w:sz w:val="24"/>
          <w:szCs w:val="24"/>
        </w:rPr>
        <w:t xml:space="preserve">Cullen, Fergus. "Out-Migration Weakening Connecticut." </w:t>
      </w:r>
      <w:r w:rsidRPr="00587F95">
        <w:rPr>
          <w:rFonts w:ascii="Times New Roman" w:hAnsi="Times New Roman"/>
          <w:i/>
          <w:iCs/>
          <w:sz w:val="24"/>
          <w:szCs w:val="24"/>
        </w:rPr>
        <w:t>Connecticut Post</w:t>
      </w:r>
      <w:r w:rsidRPr="00587F95">
        <w:rPr>
          <w:rFonts w:ascii="Times New Roman" w:hAnsi="Times New Roman"/>
          <w:sz w:val="24"/>
          <w:szCs w:val="24"/>
        </w:rPr>
        <w:t xml:space="preserve"> 08 OCT 2009, Print. </w:t>
      </w:r>
      <w:r w:rsidRPr="00587F95">
        <w:rPr>
          <w:rFonts w:ascii="Times New Roman" w:hAnsi="Times New Roman"/>
          <w:sz w:val="24"/>
          <w:szCs w:val="24"/>
        </w:rPr>
        <w:tab/>
        <w:t>&lt;http://www.yankeeinstitute.org/2009/10/out-migration-weakening-ct&gt;</w:t>
      </w:r>
    </w:p>
    <w:p w:rsidR="00114F76" w:rsidRPr="00587F95" w:rsidRDefault="00114F76" w:rsidP="006B694C">
      <w:pPr>
        <w:spacing w:line="240" w:lineRule="auto"/>
        <w:rPr>
          <w:rFonts w:ascii="Times New Roman" w:hAnsi="Times New Roman"/>
          <w:color w:val="000000"/>
          <w:sz w:val="24"/>
          <w:szCs w:val="24"/>
        </w:rPr>
      </w:pPr>
      <w:r w:rsidRPr="00587F95">
        <w:rPr>
          <w:rFonts w:ascii="Times New Roman" w:hAnsi="Times New Roman"/>
          <w:color w:val="000000"/>
          <w:sz w:val="24"/>
          <w:szCs w:val="24"/>
        </w:rPr>
        <w:t xml:space="preserve">Hamilton, Brady E., Joyce A. Martin, and Stephanie A. Ventura. "Births: Preliminary Data for </w:t>
      </w:r>
      <w:r>
        <w:rPr>
          <w:rFonts w:ascii="Times New Roman" w:hAnsi="Times New Roman"/>
          <w:color w:val="000000"/>
          <w:sz w:val="24"/>
          <w:szCs w:val="24"/>
        </w:rPr>
        <w:tab/>
      </w:r>
      <w:r w:rsidRPr="00587F95">
        <w:rPr>
          <w:rFonts w:ascii="Times New Roman" w:hAnsi="Times New Roman"/>
          <w:color w:val="000000"/>
          <w:sz w:val="24"/>
          <w:szCs w:val="24"/>
        </w:rPr>
        <w:t xml:space="preserve">2007." </w:t>
      </w:r>
      <w:r w:rsidRPr="00587F95">
        <w:rPr>
          <w:rFonts w:ascii="Times New Roman" w:hAnsi="Times New Roman"/>
          <w:color w:val="000000"/>
          <w:sz w:val="24"/>
          <w:szCs w:val="24"/>
        </w:rPr>
        <w:tab/>
      </w:r>
      <w:r w:rsidRPr="00587F95">
        <w:rPr>
          <w:rFonts w:ascii="Times New Roman" w:hAnsi="Times New Roman"/>
          <w:i/>
          <w:iCs/>
          <w:color w:val="000000"/>
          <w:sz w:val="24"/>
          <w:szCs w:val="24"/>
        </w:rPr>
        <w:t>National Vital Statistics Report</w:t>
      </w:r>
      <w:r w:rsidRPr="00587F95">
        <w:rPr>
          <w:rFonts w:ascii="Times New Roman" w:hAnsi="Times New Roman"/>
          <w:color w:val="000000"/>
          <w:sz w:val="24"/>
          <w:szCs w:val="24"/>
        </w:rPr>
        <w:t xml:space="preserve"> 57.12 (2009). </w:t>
      </w:r>
      <w:r w:rsidRPr="00587F95">
        <w:rPr>
          <w:rFonts w:ascii="Times New Roman" w:hAnsi="Times New Roman"/>
          <w:i/>
          <w:iCs/>
          <w:color w:val="000000"/>
          <w:sz w:val="24"/>
          <w:szCs w:val="24"/>
        </w:rPr>
        <w:t>National Vital Statistics Report</w:t>
      </w:r>
      <w:r w:rsidRPr="00587F95">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sidRPr="00587F95">
        <w:rPr>
          <w:rFonts w:ascii="Times New Roman" w:hAnsi="Times New Roman"/>
          <w:color w:val="000000"/>
          <w:sz w:val="24"/>
          <w:szCs w:val="24"/>
        </w:rPr>
        <w:t xml:space="preserve"> Web. 25 Nov. 2009. </w:t>
      </w:r>
      <w:r w:rsidRPr="00587F95">
        <w:rPr>
          <w:rFonts w:ascii="Times New Roman" w:hAnsi="Times New Roman"/>
          <w:color w:val="000000"/>
          <w:sz w:val="24"/>
          <w:szCs w:val="24"/>
        </w:rPr>
        <w:tab/>
        <w:t>&lt;http://www.cdc.gov/nchs/data/nvsr/nvsr57/nvsr57_12.pdf&gt;.</w:t>
      </w:r>
    </w:p>
    <w:p w:rsidR="00114F76" w:rsidRPr="00587F95" w:rsidRDefault="00114F76" w:rsidP="006B694C">
      <w:pPr>
        <w:spacing w:line="240" w:lineRule="auto"/>
        <w:rPr>
          <w:rFonts w:ascii="Times New Roman" w:hAnsi="Times New Roman"/>
          <w:i/>
          <w:iCs/>
          <w:sz w:val="24"/>
          <w:szCs w:val="24"/>
        </w:rPr>
      </w:pPr>
      <w:r w:rsidRPr="00587F95">
        <w:rPr>
          <w:rFonts w:ascii="Times New Roman" w:hAnsi="Times New Roman"/>
          <w:color w:val="262A2C"/>
          <w:sz w:val="24"/>
          <w:szCs w:val="24"/>
        </w:rPr>
        <w:t xml:space="preserve">Non Farm Employment in the New England States: March 2009." </w:t>
      </w:r>
      <w:r w:rsidRPr="00587F95">
        <w:rPr>
          <w:rFonts w:ascii="Times New Roman" w:hAnsi="Times New Roman"/>
          <w:i/>
          <w:iCs/>
          <w:color w:val="262A2C"/>
          <w:sz w:val="24"/>
          <w:szCs w:val="24"/>
        </w:rPr>
        <w:t>New England office</w:t>
      </w:r>
      <w:r w:rsidRPr="00587F95">
        <w:rPr>
          <w:rFonts w:ascii="Times New Roman" w:hAnsi="Times New Roman"/>
          <w:color w:val="262A2C"/>
          <w:sz w:val="24"/>
          <w:szCs w:val="24"/>
        </w:rPr>
        <w:t xml:space="preserve">. United </w:t>
      </w:r>
      <w:r>
        <w:rPr>
          <w:rFonts w:ascii="Times New Roman" w:hAnsi="Times New Roman"/>
          <w:color w:val="262A2C"/>
          <w:sz w:val="24"/>
          <w:szCs w:val="24"/>
        </w:rPr>
        <w:tab/>
      </w:r>
      <w:r w:rsidRPr="00587F95">
        <w:rPr>
          <w:rFonts w:ascii="Times New Roman" w:hAnsi="Times New Roman"/>
          <w:color w:val="262A2C"/>
          <w:sz w:val="24"/>
          <w:szCs w:val="24"/>
        </w:rPr>
        <w:t>States</w:t>
      </w:r>
      <w:r>
        <w:rPr>
          <w:rFonts w:ascii="Times New Roman" w:hAnsi="Times New Roman"/>
          <w:color w:val="262A2C"/>
          <w:sz w:val="24"/>
          <w:szCs w:val="24"/>
        </w:rPr>
        <w:t xml:space="preserve"> </w:t>
      </w:r>
      <w:r w:rsidRPr="00587F95">
        <w:rPr>
          <w:rFonts w:ascii="Times New Roman" w:hAnsi="Times New Roman"/>
          <w:color w:val="262A2C"/>
          <w:sz w:val="24"/>
          <w:szCs w:val="24"/>
        </w:rPr>
        <w:t xml:space="preserve">Department of Labor, 8 July 2009. Web. 27 Nov. 2009. </w:t>
      </w:r>
      <w:r w:rsidRPr="00587F95">
        <w:rPr>
          <w:rFonts w:ascii="Times New Roman" w:hAnsi="Times New Roman"/>
          <w:color w:val="262A2C"/>
          <w:sz w:val="24"/>
          <w:szCs w:val="24"/>
        </w:rPr>
        <w:tab/>
        <w:t>&lt;http://www.bls.gov/ro1/neempa.htm&gt;.</w:t>
      </w:r>
    </w:p>
    <w:p w:rsidR="00114F76" w:rsidRPr="00587F95" w:rsidRDefault="00114F76" w:rsidP="006B694C">
      <w:pPr>
        <w:spacing w:line="240" w:lineRule="auto"/>
        <w:rPr>
          <w:rFonts w:ascii="Times New Roman" w:hAnsi="Times New Roman"/>
          <w:sz w:val="24"/>
          <w:szCs w:val="24"/>
        </w:rPr>
      </w:pPr>
      <w:r w:rsidRPr="00587F95">
        <w:rPr>
          <w:rFonts w:ascii="Times New Roman" w:hAnsi="Times New Roman"/>
          <w:color w:val="000000"/>
          <w:sz w:val="24"/>
          <w:szCs w:val="24"/>
        </w:rPr>
        <w:t xml:space="preserve">"State Profile: Largest Employers Connecticut." </w:t>
      </w:r>
      <w:r w:rsidRPr="00587F95">
        <w:rPr>
          <w:rFonts w:ascii="Times New Roman" w:hAnsi="Times New Roman"/>
          <w:i/>
          <w:iCs/>
          <w:color w:val="000000"/>
          <w:sz w:val="24"/>
          <w:szCs w:val="24"/>
        </w:rPr>
        <w:t>Explore Careers</w:t>
      </w:r>
      <w:r w:rsidRPr="00587F95">
        <w:rPr>
          <w:rFonts w:ascii="Times New Roman" w:hAnsi="Times New Roman"/>
          <w:color w:val="000000"/>
          <w:sz w:val="24"/>
          <w:szCs w:val="24"/>
        </w:rPr>
        <w:t>. Car</w:t>
      </w:r>
      <w:r>
        <w:rPr>
          <w:rFonts w:ascii="Times New Roman" w:hAnsi="Times New Roman"/>
          <w:color w:val="000000"/>
          <w:sz w:val="24"/>
          <w:szCs w:val="24"/>
        </w:rPr>
        <w:t xml:space="preserve">eeronestop, 2009. Web. 26 </w:t>
      </w:r>
      <w:r>
        <w:rPr>
          <w:rFonts w:ascii="Times New Roman" w:hAnsi="Times New Roman"/>
          <w:color w:val="000000"/>
          <w:sz w:val="24"/>
          <w:szCs w:val="24"/>
        </w:rPr>
        <w:tab/>
        <w:t>Nov.</w:t>
      </w:r>
      <w:r w:rsidRPr="00587F95">
        <w:rPr>
          <w:rFonts w:ascii="Times New Roman" w:hAnsi="Times New Roman"/>
          <w:color w:val="000000"/>
          <w:sz w:val="24"/>
          <w:szCs w:val="24"/>
        </w:rPr>
        <w:t>2009.&lt;http://www.acinet.org/acinet/oview6.asp?soccode=&amp;id=&amp;nodeid=12&amp;stfips=</w:t>
      </w:r>
      <w:r>
        <w:rPr>
          <w:rFonts w:ascii="Times New Roman" w:hAnsi="Times New Roman"/>
          <w:color w:val="000000"/>
          <w:sz w:val="24"/>
          <w:szCs w:val="24"/>
        </w:rPr>
        <w:tab/>
        <w:t>09&amp;from=S</w:t>
      </w:r>
      <w:r w:rsidRPr="00587F95">
        <w:rPr>
          <w:rFonts w:ascii="Times New Roman" w:hAnsi="Times New Roman"/>
          <w:color w:val="000000"/>
          <w:sz w:val="24"/>
          <w:szCs w:val="24"/>
        </w:rPr>
        <w:t>tate&gt;</w:t>
      </w:r>
      <w:r>
        <w:rPr>
          <w:rFonts w:ascii="Times New Roman" w:hAnsi="Times New Roman"/>
          <w:color w:val="000000"/>
          <w:sz w:val="24"/>
          <w:szCs w:val="24"/>
        </w:rPr>
        <w:t xml:space="preserve">     </w:t>
      </w:r>
    </w:p>
    <w:p w:rsidR="0000671B" w:rsidRDefault="00114F76" w:rsidP="006B694C">
      <w:pPr>
        <w:spacing w:line="240" w:lineRule="auto"/>
        <w:rPr>
          <w:rFonts w:ascii="Times New Roman" w:hAnsi="Times New Roman"/>
          <w:color w:val="000000"/>
          <w:sz w:val="24"/>
          <w:szCs w:val="24"/>
        </w:rPr>
      </w:pPr>
      <w:r w:rsidRPr="00587F95">
        <w:rPr>
          <w:rFonts w:ascii="Times New Roman" w:hAnsi="Times New Roman"/>
          <w:color w:val="000000"/>
          <w:sz w:val="24"/>
          <w:szCs w:val="24"/>
        </w:rPr>
        <w:t xml:space="preserve">U.S Census Bureau. "Connecticut 2006-2008 American Community Survey 3-Year Estimates." </w:t>
      </w:r>
      <w:r>
        <w:rPr>
          <w:rFonts w:ascii="Times New Roman" w:hAnsi="Times New Roman"/>
          <w:color w:val="000000"/>
          <w:sz w:val="24"/>
          <w:szCs w:val="24"/>
        </w:rPr>
        <w:tab/>
      </w:r>
      <w:r w:rsidRPr="00587F95">
        <w:rPr>
          <w:rFonts w:ascii="Times New Roman" w:hAnsi="Times New Roman"/>
          <w:color w:val="000000"/>
          <w:sz w:val="24"/>
          <w:szCs w:val="24"/>
        </w:rPr>
        <w:t xml:space="preserve">U.S Census </w:t>
      </w:r>
      <w:r>
        <w:rPr>
          <w:rFonts w:ascii="Times New Roman" w:hAnsi="Times New Roman"/>
          <w:color w:val="000000"/>
          <w:sz w:val="24"/>
          <w:szCs w:val="24"/>
        </w:rPr>
        <w:tab/>
        <w:t xml:space="preserve">Bureau, 2006-2008. Web. 26 Nov </w:t>
      </w:r>
      <w:r>
        <w:rPr>
          <w:rFonts w:ascii="Times New Roman" w:hAnsi="Times New Roman"/>
          <w:color w:val="000000"/>
          <w:sz w:val="24"/>
          <w:szCs w:val="24"/>
        </w:rPr>
        <w:tab/>
      </w:r>
    </w:p>
    <w:p w:rsidR="00114F76" w:rsidRPr="00587F95" w:rsidRDefault="00114F76" w:rsidP="006B694C">
      <w:pPr>
        <w:spacing w:line="240" w:lineRule="auto"/>
        <w:rPr>
          <w:rFonts w:ascii="Times New Roman" w:hAnsi="Times New Roman"/>
          <w:sz w:val="24"/>
          <w:szCs w:val="24"/>
        </w:rPr>
      </w:pPr>
      <w:r w:rsidRPr="00587F95">
        <w:rPr>
          <w:rFonts w:ascii="Times New Roman" w:hAnsi="Times New Roman"/>
          <w:color w:val="000000"/>
          <w:sz w:val="24"/>
          <w:szCs w:val="24"/>
        </w:rPr>
        <w:t xml:space="preserve">U.S Census Bureau. "Connnecticut." </w:t>
      </w:r>
      <w:r w:rsidRPr="00587F95">
        <w:rPr>
          <w:rFonts w:ascii="Times New Roman" w:hAnsi="Times New Roman"/>
          <w:i/>
          <w:iCs/>
          <w:color w:val="000000"/>
          <w:sz w:val="24"/>
          <w:szCs w:val="24"/>
        </w:rPr>
        <w:t>State &amp; County Quick Facts</w:t>
      </w:r>
      <w:r w:rsidRPr="00587F95">
        <w:rPr>
          <w:rFonts w:ascii="Times New Roman" w:hAnsi="Times New Roman"/>
          <w:color w:val="000000"/>
          <w:sz w:val="24"/>
          <w:szCs w:val="24"/>
        </w:rPr>
        <w:t xml:space="preserve">. U.S Census Bureau, 17 Nov. </w:t>
      </w:r>
      <w:r>
        <w:rPr>
          <w:rFonts w:ascii="Times New Roman" w:hAnsi="Times New Roman"/>
          <w:color w:val="000000"/>
          <w:sz w:val="24"/>
          <w:szCs w:val="24"/>
        </w:rPr>
        <w:tab/>
      </w:r>
      <w:r w:rsidRPr="00587F95">
        <w:rPr>
          <w:rFonts w:ascii="Times New Roman" w:hAnsi="Times New Roman"/>
          <w:color w:val="000000"/>
          <w:sz w:val="24"/>
          <w:szCs w:val="24"/>
        </w:rPr>
        <w:t xml:space="preserve">2009. Web. </w:t>
      </w:r>
      <w:r w:rsidRPr="00587F95">
        <w:rPr>
          <w:rFonts w:ascii="Times New Roman" w:hAnsi="Times New Roman"/>
          <w:color w:val="000000"/>
          <w:sz w:val="24"/>
          <w:szCs w:val="24"/>
        </w:rPr>
        <w:tab/>
        <w:t>26 Nov. 2009. &lt;http://quickfacts.census.gov/qfd/states/09000.html&gt;.</w:t>
      </w:r>
    </w:p>
    <w:p w:rsidR="0000671B" w:rsidRDefault="0000671B" w:rsidP="00114F76">
      <w:pPr>
        <w:spacing w:line="480" w:lineRule="auto"/>
        <w:rPr>
          <w:rFonts w:ascii="Times New Roman" w:hAnsi="Times New Roman"/>
          <w:b/>
          <w:sz w:val="24"/>
          <w:szCs w:val="24"/>
        </w:rPr>
      </w:pPr>
    </w:p>
    <w:p w:rsidR="0000671B" w:rsidRDefault="004040E8" w:rsidP="0000671B">
      <w:pPr>
        <w:spacing w:line="480" w:lineRule="auto"/>
        <w:rPr>
          <w:rFonts w:ascii="Times New Roman" w:hAnsi="Times New Roman"/>
          <w:sz w:val="24"/>
          <w:szCs w:val="24"/>
        </w:rPr>
      </w:pPr>
      <w:r>
        <w:rPr>
          <w:rFonts w:ascii="Times New Roman" w:hAnsi="Times New Roman"/>
          <w:b/>
          <w:sz w:val="24"/>
          <w:szCs w:val="24"/>
        </w:rPr>
        <w:t>Immigration and Connecticut’s Foreign Born Population</w:t>
      </w:r>
    </w:p>
    <w:p w:rsidR="00114F76" w:rsidRPr="0000671B" w:rsidRDefault="007C040F" w:rsidP="0000671B">
      <w:pPr>
        <w:spacing w:line="240" w:lineRule="auto"/>
        <w:rPr>
          <w:rFonts w:ascii="Times New Roman" w:hAnsi="Times New Roman"/>
          <w:sz w:val="24"/>
          <w:szCs w:val="24"/>
        </w:rPr>
      </w:pPr>
      <w:r>
        <w:rPr>
          <w:rFonts w:ascii="Times New Roman" w:hAnsi="Times New Roman"/>
        </w:rPr>
        <w:t xml:space="preserve">More so than in the past, </w:t>
      </w:r>
      <w:r w:rsidR="00114F76" w:rsidRPr="000B7C74">
        <w:rPr>
          <w:rFonts w:ascii="Times New Roman" w:hAnsi="Times New Roman"/>
        </w:rPr>
        <w:t xml:space="preserve">Connecticut </w:t>
      </w:r>
      <w:r>
        <w:rPr>
          <w:rFonts w:ascii="Times New Roman" w:hAnsi="Times New Roman"/>
        </w:rPr>
        <w:t>is becoming</w:t>
      </w:r>
      <w:r w:rsidR="00114F76" w:rsidRPr="000B7C74">
        <w:rPr>
          <w:rFonts w:ascii="Times New Roman" w:hAnsi="Times New Roman"/>
        </w:rPr>
        <w:t xml:space="preserve"> a place for a diverse popu</w:t>
      </w:r>
      <w:r w:rsidR="006D37DD">
        <w:rPr>
          <w:rFonts w:ascii="Times New Roman" w:hAnsi="Times New Roman"/>
        </w:rPr>
        <w:t>lation of people.  The steadily</w:t>
      </w:r>
      <w:r w:rsidR="00114F76" w:rsidRPr="000B7C74">
        <w:rPr>
          <w:rFonts w:ascii="Times New Roman" w:hAnsi="Times New Roman"/>
        </w:rPr>
        <w:t xml:space="preserve"> increasing numbers of immigrants from all over the worl</w:t>
      </w:r>
      <w:r w:rsidR="00114F76">
        <w:rPr>
          <w:rFonts w:ascii="Times New Roman" w:hAnsi="Times New Roman"/>
        </w:rPr>
        <w:t>d make up approximately twelve</w:t>
      </w:r>
      <w:r w:rsidR="00114F76" w:rsidRPr="000B7C74">
        <w:rPr>
          <w:rFonts w:ascii="Times New Roman" w:hAnsi="Times New Roman"/>
        </w:rPr>
        <w:t xml:space="preserve"> percent of the state’s population.  Connecticut</w:t>
      </w:r>
      <w:r w:rsidR="006D37DD">
        <w:rPr>
          <w:rFonts w:ascii="Times New Roman" w:hAnsi="Times New Roman"/>
        </w:rPr>
        <w:t>’s</w:t>
      </w:r>
      <w:r w:rsidR="00114F76" w:rsidRPr="000B7C74">
        <w:rPr>
          <w:rFonts w:ascii="Times New Roman" w:hAnsi="Times New Roman"/>
        </w:rPr>
        <w:t xml:space="preserve"> immigration population consists of immigrants from a variety of nations however; Latin American immigrants </w:t>
      </w:r>
      <w:r w:rsidR="006D37DD">
        <w:rPr>
          <w:rFonts w:ascii="Times New Roman" w:hAnsi="Times New Roman"/>
        </w:rPr>
        <w:t>are</w:t>
      </w:r>
      <w:r w:rsidR="00114F76" w:rsidRPr="000B7C74">
        <w:rPr>
          <w:rFonts w:ascii="Times New Roman" w:hAnsi="Times New Roman"/>
        </w:rPr>
        <w:t xml:space="preserve"> the most dominant and fastest growing of the immigrant population</w:t>
      </w:r>
      <w:r w:rsidR="006D37DD">
        <w:rPr>
          <w:rFonts w:ascii="Times New Roman" w:hAnsi="Times New Roman"/>
        </w:rPr>
        <w:t>s</w:t>
      </w:r>
      <w:r w:rsidR="00114F76" w:rsidRPr="000B7C74">
        <w:rPr>
          <w:rFonts w:ascii="Times New Roman" w:hAnsi="Times New Roman"/>
        </w:rPr>
        <w:t>.  Sixty percent of European immigrants had already entered the United States by1980</w:t>
      </w:r>
      <w:r>
        <w:rPr>
          <w:rFonts w:ascii="Times New Roman" w:hAnsi="Times New Roman"/>
        </w:rPr>
        <w:t>, while</w:t>
      </w:r>
      <w:r w:rsidR="00114F76" w:rsidRPr="000B7C74">
        <w:rPr>
          <w:rFonts w:ascii="Times New Roman" w:hAnsi="Times New Roman"/>
        </w:rPr>
        <w:t xml:space="preserve"> </w:t>
      </w:r>
      <w:r>
        <w:rPr>
          <w:rFonts w:ascii="Times New Roman" w:hAnsi="Times New Roman"/>
        </w:rPr>
        <w:lastRenderedPageBreak/>
        <w:t>the</w:t>
      </w:r>
      <w:r w:rsidR="00114F76" w:rsidRPr="000B7C74">
        <w:rPr>
          <w:rFonts w:ascii="Times New Roman" w:hAnsi="Times New Roman"/>
        </w:rPr>
        <w:t xml:space="preserve"> majority of Latin American and Asian immigrants began arriving in 2000.  This is reflected in the immigrant proportions in Connecticut.   </w:t>
      </w:r>
      <w:r w:rsidR="006D37DD">
        <w:rPr>
          <w:rFonts w:ascii="Times New Roman" w:hAnsi="Times New Roman"/>
        </w:rPr>
        <w:t>Still, a</w:t>
      </w:r>
      <w:r w:rsidR="00114F76" w:rsidRPr="000B7C74">
        <w:rPr>
          <w:rFonts w:ascii="Times New Roman" w:hAnsi="Times New Roman"/>
        </w:rPr>
        <w:t>ccording to the 2004 United States Current Population Survey</w:t>
      </w:r>
      <w:r w:rsidR="006D37DD">
        <w:rPr>
          <w:rFonts w:ascii="Times New Roman" w:hAnsi="Times New Roman"/>
        </w:rPr>
        <w:t xml:space="preserve"> (see </w:t>
      </w:r>
      <w:r w:rsidR="00114F76">
        <w:rPr>
          <w:rFonts w:ascii="Times New Roman" w:hAnsi="Times New Roman"/>
        </w:rPr>
        <w:t>Figure 1.1</w:t>
      </w:r>
      <w:r w:rsidR="006D37DD">
        <w:rPr>
          <w:rFonts w:ascii="Times New Roman" w:hAnsi="Times New Roman"/>
        </w:rPr>
        <w:t>)</w:t>
      </w:r>
      <w:r w:rsidR="00114F76">
        <w:rPr>
          <w:rFonts w:ascii="Times New Roman" w:hAnsi="Times New Roman"/>
        </w:rPr>
        <w:t xml:space="preserve">, Connecticut has attracted </w:t>
      </w:r>
      <w:r w:rsidR="006D37DD">
        <w:rPr>
          <w:rFonts w:ascii="Times New Roman" w:hAnsi="Times New Roman"/>
        </w:rPr>
        <w:t>fewer</w:t>
      </w:r>
      <w:r w:rsidR="00114F76">
        <w:rPr>
          <w:rFonts w:ascii="Times New Roman" w:hAnsi="Times New Roman"/>
        </w:rPr>
        <w:t xml:space="preserve"> Latin Americans and Caribbean </w:t>
      </w:r>
      <w:r w:rsidR="006D37DD">
        <w:rPr>
          <w:rFonts w:ascii="Times New Roman" w:hAnsi="Times New Roman"/>
        </w:rPr>
        <w:t xml:space="preserve">entrants </w:t>
      </w:r>
      <w:r w:rsidR="00114F76">
        <w:rPr>
          <w:rFonts w:ascii="Times New Roman" w:hAnsi="Times New Roman"/>
        </w:rPr>
        <w:t xml:space="preserve">than the national average of fifty percent. </w:t>
      </w:r>
      <w:r w:rsidR="00114F76" w:rsidRPr="000B7C74">
        <w:rPr>
          <w:rFonts w:ascii="Times New Roman" w:hAnsi="Times New Roman"/>
        </w:rPr>
        <w:t xml:space="preserve">(Capps </w:t>
      </w:r>
      <w:r w:rsidR="00114F76" w:rsidRPr="000B7C74">
        <w:rPr>
          <w:rFonts w:ascii="Times New Roman" w:hAnsi="Times New Roman"/>
          <w:i/>
        </w:rPr>
        <w:t>et al</w:t>
      </w:r>
      <w:r w:rsidR="00114F76" w:rsidRPr="000B7C74">
        <w:rPr>
          <w:rFonts w:ascii="Times New Roman" w:hAnsi="Times New Roman"/>
        </w:rPr>
        <w:t>., 2005).</w:t>
      </w:r>
      <w:r w:rsidR="00114F76">
        <w:rPr>
          <w:rFonts w:ascii="Times New Roman" w:hAnsi="Times New Roman"/>
        </w:rPr>
        <w:t xml:space="preserve"> Factors such as distance from the countries of origin and the acceptance of illeg</w:t>
      </w:r>
      <w:r w:rsidR="006D37DD">
        <w:rPr>
          <w:rFonts w:ascii="Times New Roman" w:hAnsi="Times New Roman"/>
        </w:rPr>
        <w:t>al immigrants play a role.</w:t>
      </w:r>
    </w:p>
    <w:p w:rsidR="007C040F" w:rsidRDefault="007C040F" w:rsidP="007C040F">
      <w:pPr>
        <w:spacing w:line="240" w:lineRule="auto"/>
        <w:rPr>
          <w:rFonts w:ascii="Times New Roman" w:hAnsi="Times New Roman"/>
        </w:rPr>
      </w:pPr>
    </w:p>
    <w:p w:rsidR="00114F76" w:rsidRDefault="007B6F1C" w:rsidP="00114F76">
      <w:pPr>
        <w:spacing w:line="480" w:lineRule="auto"/>
        <w:rPr>
          <w:rFonts w:ascii="Times New Roman" w:hAnsi="Times New Roman"/>
        </w:rPr>
      </w:pPr>
      <w:r>
        <w:rPr>
          <w:rFonts w:ascii="Times New Roman" w:hAnsi="Times New Roman"/>
          <w:noProof/>
          <w:lang w:eastAsia="zh-TW"/>
        </w:rPr>
        <w:pict>
          <v:shapetype id="_x0000_t202" coordsize="21600,21600" o:spt="202" path="m,l,21600r21600,l21600,xe">
            <v:stroke joinstyle="miter"/>
            <v:path gradientshapeok="t" o:connecttype="rect"/>
          </v:shapetype>
          <v:shape id="_x0000_s1026" type="#_x0000_t202" style="position:absolute;margin-left:140.8pt;margin-top:5pt;width:186.1pt;height:22pt;z-index:251660288;mso-width-percent:400;mso-height-percent:200;mso-width-percent:400;mso-height-percent:200;mso-width-relative:margin;mso-height-relative:margin" strokecolor="white">
            <v:textbox style="mso-fit-shape-to-text:t">
              <w:txbxContent>
                <w:p w:rsidR="008D231C" w:rsidRDefault="008D231C" w:rsidP="00114F76">
                  <w:pPr>
                    <w:jc w:val="center"/>
                  </w:pPr>
                  <w:r>
                    <w:t>Figure 1.1</w:t>
                  </w:r>
                </w:p>
              </w:txbxContent>
            </v:textbox>
          </v:shape>
        </w:pict>
      </w:r>
    </w:p>
    <w:p w:rsidR="00114F76" w:rsidRPr="000B7C74" w:rsidRDefault="00114F76" w:rsidP="00114F76">
      <w:pPr>
        <w:spacing w:line="480" w:lineRule="auto"/>
        <w:jc w:val="center"/>
        <w:rPr>
          <w:rFonts w:ascii="Times New Roman" w:hAnsi="Times New Roman"/>
        </w:rPr>
      </w:pPr>
      <w:r>
        <w:rPr>
          <w:rFonts w:ascii="Times New Roman" w:hAnsi="Times New Roman"/>
          <w:noProof/>
        </w:rPr>
        <w:drawing>
          <wp:inline distT="0" distB="0" distL="0" distR="0">
            <wp:extent cx="5066665" cy="2827020"/>
            <wp:effectExtent l="19050" t="0" r="635" b="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066665" cy="2827020"/>
                    </a:xfrm>
                    <a:prstGeom prst="rect">
                      <a:avLst/>
                    </a:prstGeom>
                    <a:noFill/>
                    <a:ln w="9525">
                      <a:noFill/>
                      <a:miter lim="800000"/>
                      <a:headEnd/>
                      <a:tailEnd/>
                    </a:ln>
                  </pic:spPr>
                </pic:pic>
              </a:graphicData>
            </a:graphic>
          </wp:inline>
        </w:drawing>
      </w:r>
    </w:p>
    <w:p w:rsidR="00114F76" w:rsidRPr="000B7C74" w:rsidRDefault="00114F76" w:rsidP="007C040F">
      <w:pPr>
        <w:spacing w:line="240" w:lineRule="auto"/>
        <w:rPr>
          <w:rFonts w:ascii="Times New Roman" w:hAnsi="Times New Roman"/>
        </w:rPr>
      </w:pPr>
      <w:r w:rsidRPr="000B7C74">
        <w:rPr>
          <w:rFonts w:ascii="Times New Roman" w:hAnsi="Times New Roman"/>
        </w:rPr>
        <w:t xml:space="preserve">In regards to the citizenship and legal status of immigrants currently in the state of Connecticut, there are five main categories of </w:t>
      </w:r>
      <w:r w:rsidR="007C040F">
        <w:rPr>
          <w:rFonts w:ascii="Times New Roman" w:hAnsi="Times New Roman"/>
        </w:rPr>
        <w:t>residents</w:t>
      </w:r>
      <w:r w:rsidRPr="000B7C74">
        <w:rPr>
          <w:rFonts w:ascii="Times New Roman" w:hAnsi="Times New Roman"/>
        </w:rPr>
        <w:t xml:space="preserve">.  The first of these categories </w:t>
      </w:r>
      <w:r w:rsidR="006D37DD">
        <w:rPr>
          <w:rFonts w:ascii="Times New Roman" w:hAnsi="Times New Roman"/>
        </w:rPr>
        <w:t>is</w:t>
      </w:r>
      <w:r w:rsidRPr="000B7C74">
        <w:rPr>
          <w:rFonts w:ascii="Times New Roman" w:hAnsi="Times New Roman"/>
        </w:rPr>
        <w:t xml:space="preserve"> naturalized citizens.  This means that these types of immigrants have full acce</w:t>
      </w:r>
      <w:r w:rsidR="006D37DD">
        <w:rPr>
          <w:rFonts w:ascii="Times New Roman" w:hAnsi="Times New Roman"/>
        </w:rPr>
        <w:t>s</w:t>
      </w:r>
      <w:r w:rsidRPr="000B7C74">
        <w:rPr>
          <w:rFonts w:ascii="Times New Roman" w:hAnsi="Times New Roman"/>
        </w:rPr>
        <w:t>s to the same benefits as the rest of the public and have the right to vote.  As of 2004, fifty percent of Connecticut’s immigrants were naturalized citizens</w:t>
      </w:r>
      <w:r>
        <w:rPr>
          <w:rFonts w:ascii="Times New Roman" w:hAnsi="Times New Roman"/>
        </w:rPr>
        <w:t xml:space="preserve"> (Capps, 10)</w:t>
      </w:r>
      <w:r w:rsidRPr="000B7C74">
        <w:rPr>
          <w:rFonts w:ascii="Times New Roman" w:hAnsi="Times New Roman"/>
        </w:rPr>
        <w:t xml:space="preserve">.  Although this </w:t>
      </w:r>
      <w:r w:rsidR="006D37DD">
        <w:rPr>
          <w:rFonts w:ascii="Times New Roman" w:hAnsi="Times New Roman"/>
        </w:rPr>
        <w:t>proportion</w:t>
      </w:r>
      <w:r w:rsidRPr="000B7C74">
        <w:rPr>
          <w:rFonts w:ascii="Times New Roman" w:hAnsi="Times New Roman"/>
        </w:rPr>
        <w:t xml:space="preserve"> is decreasing because the numbers of illegal immigrants have been increasing in the past few years, </w:t>
      </w:r>
      <w:r w:rsidR="007C040F">
        <w:rPr>
          <w:rFonts w:ascii="Times New Roman" w:hAnsi="Times New Roman"/>
        </w:rPr>
        <w:t xml:space="preserve">this figure </w:t>
      </w:r>
      <w:r w:rsidRPr="000B7C74">
        <w:rPr>
          <w:rFonts w:ascii="Times New Roman" w:hAnsi="Times New Roman"/>
        </w:rPr>
        <w:t>is still considerably higher than the nation as a whole.  Therefore, naturalized immigrants in the state of Connecticut have more influence in politics than they do in the nation as a whole.  The next largest group of immigrants</w:t>
      </w:r>
      <w:r w:rsidR="007C040F">
        <w:rPr>
          <w:rFonts w:ascii="Times New Roman" w:hAnsi="Times New Roman"/>
        </w:rPr>
        <w:t>,</w:t>
      </w:r>
      <w:r w:rsidRPr="000B7C74">
        <w:rPr>
          <w:rFonts w:ascii="Times New Roman" w:hAnsi="Times New Roman"/>
        </w:rPr>
        <w:t xml:space="preserve"> mak</w:t>
      </w:r>
      <w:r w:rsidR="007C040F">
        <w:rPr>
          <w:rFonts w:ascii="Times New Roman" w:hAnsi="Times New Roman"/>
        </w:rPr>
        <w:t>ing</w:t>
      </w:r>
      <w:r w:rsidRPr="000B7C74">
        <w:rPr>
          <w:rFonts w:ascii="Times New Roman" w:hAnsi="Times New Roman"/>
        </w:rPr>
        <w:t xml:space="preserve"> up twenty-two percent of Connecticut immigrants</w:t>
      </w:r>
      <w:r w:rsidR="007C040F">
        <w:rPr>
          <w:rFonts w:ascii="Times New Roman" w:hAnsi="Times New Roman"/>
        </w:rPr>
        <w:t>,</w:t>
      </w:r>
      <w:r w:rsidRPr="000B7C74">
        <w:rPr>
          <w:rFonts w:ascii="Times New Roman" w:hAnsi="Times New Roman"/>
        </w:rPr>
        <w:t xml:space="preserve"> is the legal permanent residents.  Nineteen percent are undocumented illegal aliens.  Seven percent are refugees and two percent are legal temporary immigrants.  These numbers were taken from the 2004 Annual Social and Economic Supplements Survey.</w:t>
      </w:r>
    </w:p>
    <w:p w:rsidR="00114F76" w:rsidRPr="000B7C74" w:rsidRDefault="00114F76" w:rsidP="00BA42BD">
      <w:pPr>
        <w:spacing w:line="240" w:lineRule="auto"/>
        <w:rPr>
          <w:rFonts w:ascii="Times New Roman" w:hAnsi="Times New Roman"/>
        </w:rPr>
      </w:pPr>
      <w:r w:rsidRPr="000B7C74">
        <w:rPr>
          <w:rFonts w:ascii="Times New Roman" w:hAnsi="Times New Roman"/>
        </w:rPr>
        <w:t xml:space="preserve">If we look at Connecticut’s immigration population in comparison to the United States as a whole, there are differences in the proportions of immigrants that are naturalized citizens.  </w:t>
      </w:r>
      <w:r w:rsidR="00BA42BD">
        <w:rPr>
          <w:rFonts w:ascii="Times New Roman" w:hAnsi="Times New Roman"/>
        </w:rPr>
        <w:t>N</w:t>
      </w:r>
      <w:r w:rsidRPr="000B7C74">
        <w:rPr>
          <w:rFonts w:ascii="Times New Roman" w:hAnsi="Times New Roman"/>
        </w:rPr>
        <w:t>ation</w:t>
      </w:r>
      <w:r w:rsidR="00BA42BD">
        <w:rPr>
          <w:rFonts w:ascii="Times New Roman" w:hAnsi="Times New Roman"/>
        </w:rPr>
        <w:t xml:space="preserve">ally, </w:t>
      </w:r>
      <w:r w:rsidRPr="000B7C74">
        <w:rPr>
          <w:rFonts w:ascii="Times New Roman" w:hAnsi="Times New Roman"/>
        </w:rPr>
        <w:t>one-third of</w:t>
      </w:r>
      <w:r w:rsidR="00BA42BD">
        <w:rPr>
          <w:rFonts w:ascii="Times New Roman" w:hAnsi="Times New Roman"/>
        </w:rPr>
        <w:t xml:space="preserve"> immigrants are</w:t>
      </w:r>
      <w:r w:rsidRPr="000B7C74">
        <w:rPr>
          <w:rFonts w:ascii="Times New Roman" w:hAnsi="Times New Roman"/>
        </w:rPr>
        <w:t xml:space="preserve"> naturalized citizens.  As of 2004, twenty-nine percent of the nation’s immigrants were undocumented compared to Connecticut</w:t>
      </w:r>
      <w:r w:rsidR="00BA42BD">
        <w:rPr>
          <w:rFonts w:ascii="Times New Roman" w:hAnsi="Times New Roman"/>
        </w:rPr>
        <w:t>’s</w:t>
      </w:r>
      <w:r w:rsidRPr="000B7C74">
        <w:rPr>
          <w:rFonts w:ascii="Times New Roman" w:hAnsi="Times New Roman"/>
        </w:rPr>
        <w:t xml:space="preserve"> twenty percent (Capps </w:t>
      </w:r>
      <w:r w:rsidRPr="000B7C74">
        <w:rPr>
          <w:rFonts w:ascii="Times New Roman" w:hAnsi="Times New Roman"/>
          <w:i/>
        </w:rPr>
        <w:t>et al</w:t>
      </w:r>
      <w:r w:rsidRPr="000B7C74">
        <w:rPr>
          <w:rFonts w:ascii="Times New Roman" w:hAnsi="Times New Roman"/>
        </w:rPr>
        <w:t xml:space="preserve">., 2005).  A possible explanation for this could be because Connecticut is not a </w:t>
      </w:r>
      <w:r w:rsidR="006D37DD">
        <w:rPr>
          <w:rFonts w:ascii="Times New Roman" w:hAnsi="Times New Roman"/>
        </w:rPr>
        <w:t>first destination</w:t>
      </w:r>
      <w:r w:rsidRPr="000B7C74">
        <w:rPr>
          <w:rFonts w:ascii="Times New Roman" w:hAnsi="Times New Roman"/>
        </w:rPr>
        <w:t xml:space="preserve"> for new incoming immigrants</w:t>
      </w:r>
      <w:r w:rsidR="00BA42BD">
        <w:rPr>
          <w:rFonts w:ascii="Times New Roman" w:hAnsi="Times New Roman"/>
        </w:rPr>
        <w:t>.</w:t>
      </w:r>
      <w:r w:rsidRPr="000B7C74">
        <w:rPr>
          <w:rFonts w:ascii="Times New Roman" w:hAnsi="Times New Roman"/>
        </w:rPr>
        <w:t xml:space="preserve"> Connecticut is a state where immigrants who have been in the United States for longer periods of time are going to live.</w:t>
      </w:r>
      <w:r>
        <w:rPr>
          <w:rFonts w:ascii="Times New Roman" w:hAnsi="Times New Roman"/>
        </w:rPr>
        <w:t xml:space="preserve"> Furthermore, Connecticut is a small state far away from the Mexican border, </w:t>
      </w:r>
      <w:r w:rsidR="006D37DD">
        <w:rPr>
          <w:rFonts w:ascii="Times New Roman" w:hAnsi="Times New Roman"/>
        </w:rPr>
        <w:t>the main conduit of immigrant entry</w:t>
      </w:r>
      <w:r>
        <w:rPr>
          <w:rFonts w:ascii="Times New Roman" w:hAnsi="Times New Roman"/>
        </w:rPr>
        <w:t xml:space="preserve">.   </w:t>
      </w:r>
    </w:p>
    <w:p w:rsidR="00114F76" w:rsidRDefault="00114F76" w:rsidP="003D756A">
      <w:pPr>
        <w:spacing w:line="240" w:lineRule="auto"/>
        <w:rPr>
          <w:rFonts w:ascii="Times New Roman" w:hAnsi="Times New Roman"/>
          <w:b/>
        </w:rPr>
      </w:pPr>
      <w:r>
        <w:rPr>
          <w:rFonts w:ascii="Times New Roman" w:hAnsi="Times New Roman"/>
        </w:rPr>
        <w:lastRenderedPageBreak/>
        <w:t>For those who choose to move into Connecticut, its</w:t>
      </w:r>
      <w:r w:rsidRPr="000B7C74">
        <w:rPr>
          <w:rFonts w:ascii="Times New Roman" w:hAnsi="Times New Roman"/>
        </w:rPr>
        <w:t xml:space="preserve"> geographic position in the United States plays a significant role in where they reside.  Fairfield County, the Hartford metropolitan area and the New Haven-Waterbury area are three major areas where immigrants are clustered. </w:t>
      </w:r>
      <w:r w:rsidR="003D756A">
        <w:rPr>
          <w:rFonts w:ascii="Times New Roman" w:hAnsi="Times New Roman"/>
        </w:rPr>
        <w:t xml:space="preserve"> </w:t>
      </w:r>
      <w:r w:rsidR="006D37DD">
        <w:rPr>
          <w:rFonts w:ascii="Times New Roman" w:hAnsi="Times New Roman"/>
        </w:rPr>
        <w:t xml:space="preserve">Cities provide services needed by new arrivals, so it is not surprising that the three major urban areas attract the greatest numbers of immigrants. </w:t>
      </w:r>
      <w:r w:rsidRPr="000B7C74">
        <w:rPr>
          <w:rFonts w:ascii="Times New Roman" w:hAnsi="Times New Roman"/>
        </w:rPr>
        <w:t xml:space="preserve">As of the 2000 U.S Census of Population and Housing, the six towns in CT </w:t>
      </w:r>
      <w:r w:rsidR="006D37DD">
        <w:rPr>
          <w:rFonts w:ascii="Times New Roman" w:hAnsi="Times New Roman"/>
        </w:rPr>
        <w:t>(see</w:t>
      </w:r>
      <w:r>
        <w:rPr>
          <w:rFonts w:ascii="Times New Roman" w:hAnsi="Times New Roman"/>
        </w:rPr>
        <w:t xml:space="preserve"> Figure 3</w:t>
      </w:r>
      <w:r w:rsidR="006D37DD">
        <w:rPr>
          <w:rFonts w:ascii="Times New Roman" w:hAnsi="Times New Roman"/>
        </w:rPr>
        <w:t>)</w:t>
      </w:r>
      <w:r>
        <w:rPr>
          <w:rFonts w:ascii="Times New Roman" w:hAnsi="Times New Roman"/>
        </w:rPr>
        <w:t xml:space="preserve"> </w:t>
      </w:r>
      <w:r w:rsidRPr="000B7C74">
        <w:rPr>
          <w:rFonts w:ascii="Times New Roman" w:hAnsi="Times New Roman"/>
        </w:rPr>
        <w:t>that had the highest immigrant populations were Stamford with 35,000 immigrants, Bridgeport with 29,000 immigrants, Hartford with 23,000 immigrants, Danbury with 20,000 immigrants, Norwalk with 17,000 immigrants and New Haven with 14,000 immigrants</w:t>
      </w:r>
      <w:r>
        <w:rPr>
          <w:rFonts w:ascii="Times New Roman" w:hAnsi="Times New Roman"/>
        </w:rPr>
        <w:t xml:space="preserve"> (Capps)</w:t>
      </w:r>
      <w:r w:rsidRPr="000B7C74">
        <w:rPr>
          <w:rFonts w:ascii="Times New Roman" w:hAnsi="Times New Roman"/>
        </w:rPr>
        <w:t xml:space="preserve">.  </w:t>
      </w:r>
    </w:p>
    <w:p w:rsidR="00114F76" w:rsidRPr="006C2746" w:rsidRDefault="00114F76" w:rsidP="00BB1C52">
      <w:pPr>
        <w:spacing w:line="480" w:lineRule="auto"/>
        <w:ind w:firstLine="720"/>
        <w:jc w:val="center"/>
        <w:rPr>
          <w:rFonts w:ascii="Times New Roman" w:hAnsi="Times New Roman"/>
        </w:rPr>
      </w:pPr>
      <w:r>
        <w:rPr>
          <w:rFonts w:ascii="Times New Roman" w:hAnsi="Times New Roman"/>
        </w:rPr>
        <w:t>Figure 2</w:t>
      </w:r>
      <w:r w:rsidRPr="000B7C74">
        <w:rPr>
          <w:rFonts w:ascii="Times New Roman" w:hAnsi="Times New Roman"/>
        </w:rPr>
        <w:t xml:space="preserve">- Towns </w:t>
      </w:r>
      <w:r>
        <w:rPr>
          <w:rFonts w:ascii="Times New Roman" w:hAnsi="Times New Roman"/>
        </w:rPr>
        <w:t>with t</w:t>
      </w:r>
      <w:r w:rsidRPr="000B7C74">
        <w:rPr>
          <w:rFonts w:ascii="Times New Roman" w:hAnsi="Times New Roman"/>
        </w:rPr>
        <w:t>he Highest Immigrant Population</w:t>
      </w:r>
    </w:p>
    <w:p w:rsidR="00114F76" w:rsidRDefault="00114F76" w:rsidP="00114F76">
      <w:pPr>
        <w:spacing w:line="480" w:lineRule="auto"/>
        <w:jc w:val="center"/>
      </w:pPr>
      <w:r>
        <w:rPr>
          <w:noProof/>
        </w:rPr>
        <w:drawing>
          <wp:inline distT="0" distB="0" distL="0" distR="0">
            <wp:extent cx="5215890" cy="4039870"/>
            <wp:effectExtent l="19050" t="0" r="3810" b="0"/>
            <wp:docPr id="262" name="Picture 3" descr="::Desktop: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Picture 3.png"/>
                    <pic:cNvPicPr>
                      <a:picLocks noChangeAspect="1" noChangeArrowheads="1"/>
                    </pic:cNvPicPr>
                  </pic:nvPicPr>
                  <pic:blipFill>
                    <a:blip r:embed="rId22" cstate="print"/>
                    <a:srcRect/>
                    <a:stretch>
                      <a:fillRect/>
                    </a:stretch>
                  </pic:blipFill>
                  <pic:spPr bwMode="auto">
                    <a:xfrm>
                      <a:off x="0" y="0"/>
                      <a:ext cx="5215890" cy="4039870"/>
                    </a:xfrm>
                    <a:prstGeom prst="rect">
                      <a:avLst/>
                    </a:prstGeom>
                    <a:noFill/>
                    <a:ln w="9525">
                      <a:noFill/>
                      <a:miter lim="800000"/>
                      <a:headEnd/>
                      <a:tailEnd/>
                    </a:ln>
                  </pic:spPr>
                </pic:pic>
              </a:graphicData>
            </a:graphic>
          </wp:inline>
        </w:drawing>
      </w:r>
    </w:p>
    <w:p w:rsidR="00114F76" w:rsidRDefault="00114F76" w:rsidP="00114F76">
      <w:pPr>
        <w:spacing w:line="480" w:lineRule="auto"/>
        <w:jc w:val="center"/>
      </w:pPr>
    </w:p>
    <w:p w:rsidR="00114F76" w:rsidRDefault="00114F76" w:rsidP="00114F76">
      <w:pPr>
        <w:spacing w:line="480" w:lineRule="auto"/>
        <w:jc w:val="center"/>
      </w:pPr>
    </w:p>
    <w:p w:rsidR="00114F76" w:rsidRDefault="00114F76" w:rsidP="00114F76">
      <w:pPr>
        <w:spacing w:line="480" w:lineRule="auto"/>
        <w:jc w:val="center"/>
      </w:pPr>
      <w:r>
        <w:t>Figure 3- Immigration Distribution in CT</w:t>
      </w:r>
    </w:p>
    <w:p w:rsidR="00114F76" w:rsidRDefault="00114F76" w:rsidP="00114F76">
      <w:pPr>
        <w:spacing w:line="480" w:lineRule="auto"/>
      </w:pPr>
      <w:r>
        <w:rPr>
          <w:noProof/>
        </w:rPr>
        <w:lastRenderedPageBreak/>
        <w:drawing>
          <wp:inline distT="0" distB="0" distL="0" distR="0">
            <wp:extent cx="5856095" cy="3534409"/>
            <wp:effectExtent l="6097" t="0" r="6478" b="1906"/>
            <wp:docPr id="26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14F76" w:rsidRDefault="00114F76" w:rsidP="00020E6C">
      <w:pPr>
        <w:spacing w:line="240" w:lineRule="auto"/>
        <w:rPr>
          <w:rFonts w:ascii="Times New Roman" w:hAnsi="Times New Roman"/>
        </w:rPr>
      </w:pPr>
      <w:r>
        <w:rPr>
          <w:rFonts w:ascii="Times New Roman" w:hAnsi="Times New Roman"/>
        </w:rPr>
        <w:t xml:space="preserve">New Haven has become a common place for immigrants to </w:t>
      </w:r>
      <w:r w:rsidR="00BB1C52">
        <w:rPr>
          <w:rFonts w:ascii="Times New Roman" w:hAnsi="Times New Roman"/>
        </w:rPr>
        <w:t>reside</w:t>
      </w:r>
      <w:r>
        <w:rPr>
          <w:rFonts w:ascii="Times New Roman" w:hAnsi="Times New Roman"/>
        </w:rPr>
        <w:t>, especially</w:t>
      </w:r>
      <w:r w:rsidR="005E5D3A">
        <w:rPr>
          <w:rFonts w:ascii="Times New Roman" w:hAnsi="Times New Roman"/>
        </w:rPr>
        <w:t xml:space="preserve"> unaut</w:t>
      </w:r>
      <w:r w:rsidR="00BB1C52">
        <w:rPr>
          <w:rFonts w:ascii="Times New Roman" w:hAnsi="Times New Roman"/>
        </w:rPr>
        <w:t xml:space="preserve">horized </w:t>
      </w:r>
      <w:r>
        <w:rPr>
          <w:rFonts w:ascii="Times New Roman" w:hAnsi="Times New Roman"/>
        </w:rPr>
        <w:t xml:space="preserve"> ones. The city of New Haven is the first city in the nation to establish a form of ID for everyone</w:t>
      </w:r>
      <w:r w:rsidR="00BB1C52">
        <w:rPr>
          <w:rFonts w:ascii="Times New Roman" w:hAnsi="Times New Roman"/>
        </w:rPr>
        <w:t xml:space="preserve">, legal or not.  </w:t>
      </w:r>
      <w:r>
        <w:rPr>
          <w:rFonts w:ascii="Times New Roman" w:hAnsi="Times New Roman"/>
        </w:rPr>
        <w:t>The Elm City Resident card</w:t>
      </w:r>
      <w:r w:rsidR="00BB1C52">
        <w:rPr>
          <w:rFonts w:ascii="Times New Roman" w:hAnsi="Times New Roman"/>
        </w:rPr>
        <w:t>,</w:t>
      </w:r>
      <w:r>
        <w:rPr>
          <w:rFonts w:ascii="Times New Roman" w:hAnsi="Times New Roman"/>
        </w:rPr>
        <w:t xml:space="preserve"> which was initiated by Mayor DeStefano, was to provide services to the general population. </w:t>
      </w:r>
      <w:r w:rsidR="00020E6C">
        <w:rPr>
          <w:rFonts w:ascii="Times New Roman" w:hAnsi="Times New Roman"/>
        </w:rPr>
        <w:t>It</w:t>
      </w:r>
      <w:r>
        <w:rPr>
          <w:rFonts w:ascii="Times New Roman" w:hAnsi="Times New Roman"/>
        </w:rPr>
        <w:t xml:space="preserve"> function</w:t>
      </w:r>
      <w:r w:rsidR="00020E6C">
        <w:rPr>
          <w:rFonts w:ascii="Times New Roman" w:hAnsi="Times New Roman"/>
        </w:rPr>
        <w:t>s</w:t>
      </w:r>
      <w:r>
        <w:rPr>
          <w:rFonts w:ascii="Times New Roman" w:hAnsi="Times New Roman"/>
        </w:rPr>
        <w:t xml:space="preserve"> as a library card, a method of paying the parking meter, and the most important, a debit card. </w:t>
      </w:r>
      <w:r w:rsidR="00BB1C52">
        <w:rPr>
          <w:rFonts w:ascii="Times New Roman" w:hAnsi="Times New Roman"/>
        </w:rPr>
        <w:t>Lacking a formal ID, illegal immigrants were unable to establish their identities and open a bank account.  Many kept their earnings in cash and became victims of crime. With the Elm City Resident card, this barrier is removed.</w:t>
      </w:r>
      <w:r>
        <w:rPr>
          <w:rFonts w:ascii="Times New Roman" w:hAnsi="Times New Roman"/>
        </w:rPr>
        <w:t xml:space="preserve">   </w:t>
      </w:r>
    </w:p>
    <w:p w:rsidR="00114F76" w:rsidRPr="000B7C74" w:rsidRDefault="00114F76" w:rsidP="00020E6C">
      <w:pPr>
        <w:spacing w:line="240" w:lineRule="auto"/>
        <w:rPr>
          <w:rFonts w:ascii="Times New Roman" w:hAnsi="Times New Roman"/>
        </w:rPr>
      </w:pPr>
      <w:r w:rsidRPr="000B7C74">
        <w:rPr>
          <w:rFonts w:ascii="Times New Roman" w:hAnsi="Times New Roman"/>
        </w:rPr>
        <w:t xml:space="preserve">The type of education that an immigrant in Connecticut has obtained has a direct effect on the types of jobs they could potentially be hired for. </w:t>
      </w:r>
      <w:r>
        <w:rPr>
          <w:rFonts w:ascii="Times New Roman" w:hAnsi="Times New Roman"/>
        </w:rPr>
        <w:t>A language barrier</w:t>
      </w:r>
      <w:r w:rsidRPr="000B7C74">
        <w:rPr>
          <w:rFonts w:ascii="Times New Roman" w:hAnsi="Times New Roman"/>
        </w:rPr>
        <w:t xml:space="preserve"> is a huge factor for an immigrant looking for work.  According to previous studies, the Latin American, Caribbean and Southeast Asian immigrants in CT are the</w:t>
      </w:r>
      <w:r w:rsidR="00D81991">
        <w:rPr>
          <w:rFonts w:ascii="Times New Roman" w:hAnsi="Times New Roman"/>
        </w:rPr>
        <w:t xml:space="preserve"> least</w:t>
      </w:r>
      <w:r w:rsidRPr="000B7C74">
        <w:rPr>
          <w:rFonts w:ascii="Times New Roman" w:hAnsi="Times New Roman"/>
        </w:rPr>
        <w:t xml:space="preserve"> English proficient</w:t>
      </w:r>
      <w:r w:rsidR="00D81991">
        <w:rPr>
          <w:rFonts w:ascii="Times New Roman" w:hAnsi="Times New Roman"/>
        </w:rPr>
        <w:t>.</w:t>
      </w:r>
      <w:r w:rsidRPr="000B7C74">
        <w:rPr>
          <w:rFonts w:ascii="Times New Roman" w:hAnsi="Times New Roman"/>
        </w:rPr>
        <w:t xml:space="preserve">  Of those immigrants who are 25 years of age or older, 55% of Latin American Immigrants, 24% of Caribbean immigrants and 40% of Southeast Asian immigrants currently lack high school degrees (Public Use Microdata Sample, 2000).  Lacking </w:t>
      </w:r>
      <w:r>
        <w:rPr>
          <w:rFonts w:ascii="Times New Roman" w:hAnsi="Times New Roman"/>
        </w:rPr>
        <w:t>a high school degree or higher form of education puts a severe limit on the</w:t>
      </w:r>
      <w:r w:rsidRPr="000B7C74">
        <w:rPr>
          <w:rFonts w:ascii="Times New Roman" w:hAnsi="Times New Roman"/>
        </w:rPr>
        <w:t xml:space="preserve"> number of possible job opportunities.  As a result, </w:t>
      </w:r>
      <w:r>
        <w:rPr>
          <w:rFonts w:ascii="Times New Roman" w:hAnsi="Times New Roman"/>
        </w:rPr>
        <w:t>jobs that require less skills to perform</w:t>
      </w:r>
      <w:r w:rsidRPr="000B7C74">
        <w:rPr>
          <w:rFonts w:ascii="Times New Roman" w:hAnsi="Times New Roman"/>
        </w:rPr>
        <w:t xml:space="preserve">, </w:t>
      </w:r>
      <w:r>
        <w:rPr>
          <w:rFonts w:ascii="Times New Roman" w:hAnsi="Times New Roman"/>
        </w:rPr>
        <w:t xml:space="preserve">that are </w:t>
      </w:r>
      <w:r w:rsidRPr="000B7C74">
        <w:rPr>
          <w:rFonts w:ascii="Times New Roman" w:hAnsi="Times New Roman"/>
        </w:rPr>
        <w:t xml:space="preserve">not taken by </w:t>
      </w:r>
      <w:r>
        <w:rPr>
          <w:rFonts w:ascii="Times New Roman" w:hAnsi="Times New Roman"/>
        </w:rPr>
        <w:t xml:space="preserve">the rest of </w:t>
      </w:r>
      <w:r w:rsidRPr="000B7C74">
        <w:rPr>
          <w:rFonts w:ascii="Times New Roman" w:hAnsi="Times New Roman"/>
        </w:rPr>
        <w:t>Connecticut</w:t>
      </w:r>
      <w:r>
        <w:rPr>
          <w:rFonts w:ascii="Times New Roman" w:hAnsi="Times New Roman"/>
        </w:rPr>
        <w:t>’s work force</w:t>
      </w:r>
      <w:r w:rsidRPr="000B7C74">
        <w:rPr>
          <w:rFonts w:ascii="Times New Roman" w:hAnsi="Times New Roman"/>
        </w:rPr>
        <w:t xml:space="preserve"> are</w:t>
      </w:r>
      <w:r>
        <w:rPr>
          <w:rFonts w:ascii="Times New Roman" w:hAnsi="Times New Roman"/>
        </w:rPr>
        <w:t xml:space="preserve"> the only positions </w:t>
      </w:r>
      <w:r w:rsidRPr="000B7C74">
        <w:rPr>
          <w:rFonts w:ascii="Times New Roman" w:hAnsi="Times New Roman"/>
        </w:rPr>
        <w:t>available</w:t>
      </w:r>
      <w:r>
        <w:rPr>
          <w:rFonts w:ascii="Times New Roman" w:hAnsi="Times New Roman"/>
        </w:rPr>
        <w:t xml:space="preserve"> to immigrants</w:t>
      </w:r>
      <w:r w:rsidRPr="000B7C74">
        <w:rPr>
          <w:rFonts w:ascii="Times New Roman" w:hAnsi="Times New Roman"/>
        </w:rPr>
        <w:t xml:space="preserve">.  This can be viewed as a positive </w:t>
      </w:r>
      <w:r>
        <w:rPr>
          <w:rFonts w:ascii="Times New Roman" w:hAnsi="Times New Roman"/>
        </w:rPr>
        <w:t xml:space="preserve">aspect </w:t>
      </w:r>
      <w:r w:rsidRPr="000B7C74">
        <w:rPr>
          <w:rFonts w:ascii="Times New Roman" w:hAnsi="Times New Roman"/>
        </w:rPr>
        <w:t>for Connecticut because these immigrant</w:t>
      </w:r>
      <w:r>
        <w:rPr>
          <w:rFonts w:ascii="Times New Roman" w:hAnsi="Times New Roman"/>
        </w:rPr>
        <w:t xml:space="preserve">s are taking jobs </w:t>
      </w:r>
      <w:r w:rsidR="00020E6C">
        <w:rPr>
          <w:rFonts w:ascii="Times New Roman" w:hAnsi="Times New Roman"/>
        </w:rPr>
        <w:t xml:space="preserve">(usually requiring physical labor) </w:t>
      </w:r>
      <w:r>
        <w:rPr>
          <w:rFonts w:ascii="Times New Roman" w:hAnsi="Times New Roman"/>
        </w:rPr>
        <w:t>that are less</w:t>
      </w:r>
      <w:r w:rsidR="00020E6C">
        <w:rPr>
          <w:rFonts w:ascii="Times New Roman" w:hAnsi="Times New Roman"/>
        </w:rPr>
        <w:t xml:space="preserve"> desired by legal residents of the State.</w:t>
      </w:r>
      <w:r w:rsidRPr="000B7C74">
        <w:rPr>
          <w:rFonts w:ascii="Times New Roman" w:hAnsi="Times New Roman"/>
        </w:rPr>
        <w:t xml:space="preserve">  Asian immigrants</w:t>
      </w:r>
      <w:r>
        <w:rPr>
          <w:rFonts w:ascii="Times New Roman" w:hAnsi="Times New Roman"/>
        </w:rPr>
        <w:t xml:space="preserve"> o</w:t>
      </w:r>
      <w:r w:rsidRPr="000B7C74">
        <w:rPr>
          <w:rFonts w:ascii="Times New Roman" w:hAnsi="Times New Roman"/>
        </w:rPr>
        <w:t>n the contrary happen to be very well educated, even compared to United States born citizens.  A majority of Asian immigrants have received four-year college degrees, making the potential positions they can h</w:t>
      </w:r>
      <w:r>
        <w:rPr>
          <w:rFonts w:ascii="Times New Roman" w:hAnsi="Times New Roman"/>
        </w:rPr>
        <w:t>old equal to or higher than most native born residents in the</w:t>
      </w:r>
      <w:r w:rsidRPr="000B7C74">
        <w:rPr>
          <w:rFonts w:ascii="Times New Roman" w:hAnsi="Times New Roman"/>
        </w:rPr>
        <w:t xml:space="preserve"> state of Connecticut</w:t>
      </w:r>
      <w:r>
        <w:rPr>
          <w:rFonts w:ascii="Times New Roman" w:hAnsi="Times New Roman"/>
        </w:rPr>
        <w:t xml:space="preserve"> (Capps)</w:t>
      </w:r>
      <w:r w:rsidRPr="000B7C74">
        <w:rPr>
          <w:rFonts w:ascii="Times New Roman" w:hAnsi="Times New Roman"/>
        </w:rPr>
        <w:t xml:space="preserve">.  Censuses taken over the past few years show that immigrants are becoming more and more educated each year, increasing the overall level of educated foreign-born individuals in Connecticut.  </w:t>
      </w:r>
    </w:p>
    <w:p w:rsidR="00114F76" w:rsidRDefault="00114F76" w:rsidP="00945602">
      <w:pPr>
        <w:spacing w:line="240" w:lineRule="auto"/>
        <w:rPr>
          <w:rFonts w:ascii="Times New Roman" w:hAnsi="Times New Roman"/>
        </w:rPr>
      </w:pPr>
      <w:r w:rsidRPr="000B7C74">
        <w:rPr>
          <w:rFonts w:ascii="Times New Roman" w:hAnsi="Times New Roman"/>
        </w:rPr>
        <w:t>Due to immigrants in Connecticut becoming more educated over</w:t>
      </w:r>
      <w:r w:rsidR="00D81991">
        <w:rPr>
          <w:rFonts w:ascii="Times New Roman" w:hAnsi="Times New Roman"/>
        </w:rPr>
        <w:t xml:space="preserve"> </w:t>
      </w:r>
      <w:r w:rsidRPr="000B7C74">
        <w:rPr>
          <w:rFonts w:ascii="Times New Roman" w:hAnsi="Times New Roman"/>
        </w:rPr>
        <w:t xml:space="preserve">time, there has been a slight shift in the types of jobs being </w:t>
      </w:r>
      <w:r w:rsidR="00D81991">
        <w:rPr>
          <w:rFonts w:ascii="Times New Roman" w:hAnsi="Times New Roman"/>
        </w:rPr>
        <w:t>held by this segment of the Connecticut population</w:t>
      </w:r>
      <w:r w:rsidRPr="000B7C74">
        <w:rPr>
          <w:rFonts w:ascii="Times New Roman" w:hAnsi="Times New Roman"/>
        </w:rPr>
        <w:t xml:space="preserve">.  Most immigrants in Connecticut </w:t>
      </w:r>
      <w:r w:rsidRPr="000B7C74">
        <w:rPr>
          <w:rFonts w:ascii="Times New Roman" w:hAnsi="Times New Roman"/>
        </w:rPr>
        <w:lastRenderedPageBreak/>
        <w:t xml:space="preserve">are occupying low-wage, low-skilled jobs and this is something that will most likely </w:t>
      </w:r>
      <w:r w:rsidR="00D81991">
        <w:rPr>
          <w:rFonts w:ascii="Times New Roman" w:hAnsi="Times New Roman"/>
        </w:rPr>
        <w:t>persist</w:t>
      </w:r>
      <w:r w:rsidRPr="000B7C74">
        <w:rPr>
          <w:rFonts w:ascii="Times New Roman" w:hAnsi="Times New Roman"/>
        </w:rPr>
        <w:t xml:space="preserve">.  </w:t>
      </w:r>
      <w:r>
        <w:rPr>
          <w:rFonts w:ascii="Times New Roman" w:hAnsi="Times New Roman"/>
        </w:rPr>
        <w:t>Figure 4 shows the distribution of the top five categories of jobs occupied by immigr</w:t>
      </w:r>
      <w:r w:rsidR="00945602">
        <w:rPr>
          <w:rFonts w:ascii="Times New Roman" w:hAnsi="Times New Roman"/>
        </w:rPr>
        <w:t>ants in CT; Accommodations/</w:t>
      </w:r>
      <w:r>
        <w:rPr>
          <w:rFonts w:ascii="Times New Roman" w:hAnsi="Times New Roman"/>
        </w:rPr>
        <w:t>Food Services, Other Services, Administrative and Support Services, Manufacturing, and Construction.  R</w:t>
      </w:r>
      <w:r w:rsidRPr="000B7C74">
        <w:rPr>
          <w:rFonts w:ascii="Times New Roman" w:hAnsi="Times New Roman"/>
        </w:rPr>
        <w:t>ecently, the percentage of immigrants occupying higher-wage, mo</w:t>
      </w:r>
      <w:r>
        <w:rPr>
          <w:rFonts w:ascii="Times New Roman" w:hAnsi="Times New Roman"/>
        </w:rPr>
        <w:t xml:space="preserve">re skill-required jobs has </w:t>
      </w:r>
      <w:r w:rsidR="00D81991">
        <w:rPr>
          <w:rFonts w:ascii="Times New Roman" w:hAnsi="Times New Roman"/>
        </w:rPr>
        <w:t>shown</w:t>
      </w:r>
      <w:r>
        <w:rPr>
          <w:rFonts w:ascii="Times New Roman" w:hAnsi="Times New Roman"/>
        </w:rPr>
        <w:t xml:space="preserve"> an increase</w:t>
      </w:r>
      <w:r w:rsidR="00D81991">
        <w:rPr>
          <w:rFonts w:ascii="Times New Roman" w:hAnsi="Times New Roman"/>
        </w:rPr>
        <w:t>.</w:t>
      </w:r>
      <w:r w:rsidRPr="000B7C74">
        <w:rPr>
          <w:rFonts w:ascii="Times New Roman" w:hAnsi="Times New Roman"/>
        </w:rPr>
        <w:t xml:space="preserve"> </w:t>
      </w:r>
      <w:r>
        <w:rPr>
          <w:rFonts w:ascii="Times New Roman" w:hAnsi="Times New Roman"/>
        </w:rPr>
        <w:t>Even though the shift is minor, more immigrants are occupying professional, technical, and scientific professions.</w:t>
      </w:r>
    </w:p>
    <w:p w:rsidR="00114F76" w:rsidRDefault="00114F76" w:rsidP="00114F76">
      <w:pPr>
        <w:spacing w:line="480" w:lineRule="auto"/>
        <w:ind w:left="2880" w:firstLine="720"/>
        <w:rPr>
          <w:rFonts w:ascii="Times New Roman" w:hAnsi="Times New Roman"/>
        </w:rPr>
      </w:pPr>
      <w:r>
        <w:rPr>
          <w:rFonts w:ascii="Times New Roman" w:hAnsi="Times New Roman"/>
        </w:rPr>
        <w:t>Figure 4</w:t>
      </w:r>
    </w:p>
    <w:p w:rsidR="00114F76" w:rsidRDefault="00114F76" w:rsidP="00114F76">
      <w:pPr>
        <w:spacing w:line="480" w:lineRule="auto"/>
        <w:jc w:val="center"/>
        <w:rPr>
          <w:rFonts w:ascii="Times New Roman" w:hAnsi="Times New Roman"/>
          <w:noProof/>
        </w:rPr>
      </w:pPr>
      <w:r>
        <w:rPr>
          <w:rFonts w:ascii="Times New Roman" w:hAnsi="Times New Roman"/>
          <w:noProof/>
        </w:rPr>
        <w:drawing>
          <wp:inline distT="0" distB="0" distL="0" distR="0">
            <wp:extent cx="5949805" cy="3254681"/>
            <wp:effectExtent l="6105" t="0" r="6105" b="1599"/>
            <wp:docPr id="26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14F76" w:rsidRPr="00F04E74" w:rsidRDefault="00D81991" w:rsidP="00945602">
      <w:pPr>
        <w:spacing w:line="240" w:lineRule="auto"/>
        <w:rPr>
          <w:rStyle w:val="Strong"/>
          <w:rFonts w:ascii="Times New Roman" w:hAnsi="Times New Roman" w:cs="Times New Roman"/>
          <w:b w:val="0"/>
        </w:rPr>
      </w:pPr>
      <w:r>
        <w:rPr>
          <w:rFonts w:ascii="Times New Roman" w:hAnsi="Times New Roman"/>
        </w:rPr>
        <w:t>In addition to the other jobs commonly held by immigrants, construction sector jobs offer an additional opportunity.  Typically this involves employing immigrants at relatively low wages to do those jobs that long-term employee</w:t>
      </w:r>
      <w:r w:rsidR="0055633C">
        <w:rPr>
          <w:rFonts w:ascii="Times New Roman" w:hAnsi="Times New Roman"/>
        </w:rPr>
        <w:t>s would prefer not to engage in, such as roofing, siding insulation and dry-walling.</w:t>
      </w:r>
      <w:r>
        <w:rPr>
          <w:rFonts w:ascii="Times New Roman" w:hAnsi="Times New Roman"/>
        </w:rPr>
        <w:t xml:space="preserve"> </w:t>
      </w:r>
      <w:r w:rsidR="00114F76">
        <w:rPr>
          <w:rFonts w:ascii="Times New Roman" w:hAnsi="Times New Roman"/>
        </w:rPr>
        <w:t>Illegal immigrants will work for very little money.</w:t>
      </w:r>
      <w:r w:rsidR="00114F76" w:rsidRPr="006051CA">
        <w:rPr>
          <w:rFonts w:ascii="Times New Roman" w:hAnsi="Times New Roman"/>
        </w:rPr>
        <w:t xml:space="preserve"> </w:t>
      </w:r>
      <w:r w:rsidR="00F04E74">
        <w:rPr>
          <w:rFonts w:ascii="Times New Roman" w:hAnsi="Times New Roman"/>
        </w:rPr>
        <w:t xml:space="preserve">Quoted in a release by the Connecticut Laborer’s Distict Council, Ted Duarte, an organizers for the New England Regional Council of Carpenters noted </w:t>
      </w:r>
      <w:r w:rsidR="00F04E74" w:rsidRPr="00F04E74">
        <w:rPr>
          <w:rStyle w:val="Strong"/>
          <w:rFonts w:ascii="Times New Roman" w:hAnsi="Times New Roman" w:cs="Times New Roman"/>
          <w:b w:val="0"/>
        </w:rPr>
        <w:t xml:space="preserve">"They're easily exploitable. </w:t>
      </w:r>
      <w:r w:rsidR="00114F76" w:rsidRPr="00F04E74">
        <w:rPr>
          <w:rStyle w:val="Strong"/>
          <w:rFonts w:ascii="Times New Roman" w:hAnsi="Times New Roman" w:cs="Times New Roman"/>
          <w:b w:val="0"/>
        </w:rPr>
        <w:t>They'll work for $8.50 an hour. They'll work sunup to sundown, 13 to 14 hours a day, Saturday, Sunday, (sleeping) eight to a hotel room."(</w:t>
      </w:r>
      <w:r w:rsidR="00F04E74" w:rsidRPr="00F04E74">
        <w:rPr>
          <w:rStyle w:val="Strong"/>
          <w:rFonts w:ascii="Times New Roman" w:hAnsi="Times New Roman" w:cs="Times New Roman"/>
          <w:b w:val="0"/>
        </w:rPr>
        <w:t>CLDC).The temptation to use illegal immigrants in the construction sector can be very high.</w:t>
      </w:r>
      <w:r w:rsidR="00114F76" w:rsidRPr="00F04E74">
        <w:rPr>
          <w:rStyle w:val="Strong"/>
          <w:rFonts w:ascii="Times New Roman" w:hAnsi="Times New Roman" w:cs="Times New Roman"/>
          <w:b w:val="0"/>
        </w:rPr>
        <w:t xml:space="preserve"> </w:t>
      </w:r>
    </w:p>
    <w:p w:rsidR="00114F76" w:rsidRPr="000B7C74" w:rsidRDefault="0055633C" w:rsidP="00945602">
      <w:pPr>
        <w:spacing w:line="240" w:lineRule="auto"/>
        <w:rPr>
          <w:rFonts w:ascii="Times New Roman" w:hAnsi="Times New Roman"/>
        </w:rPr>
      </w:pPr>
      <w:r>
        <w:rPr>
          <w:rFonts w:ascii="Times New Roman" w:hAnsi="Times New Roman"/>
        </w:rPr>
        <w:t>Overall, immigrants make a substantial contribution to the Connecticut economy through employment in secto</w:t>
      </w:r>
      <w:r w:rsidR="00077B64">
        <w:rPr>
          <w:rFonts w:ascii="Times New Roman" w:hAnsi="Times New Roman"/>
        </w:rPr>
        <w:t>rs where it would be difficult to secure U.S.-born workers.  The presence of substantial immigrant labor produces some weakness in the labor market for the lowest-paying jobs.</w:t>
      </w:r>
    </w:p>
    <w:p w:rsidR="00114F76" w:rsidRPr="00077B64" w:rsidRDefault="008D070D" w:rsidP="00114F76">
      <w:pPr>
        <w:spacing w:line="480" w:lineRule="auto"/>
        <w:rPr>
          <w:rFonts w:ascii="Times New Roman" w:hAnsi="Times New Roman"/>
          <w:b/>
        </w:rPr>
      </w:pPr>
      <w:r>
        <w:rPr>
          <w:rFonts w:ascii="Times New Roman" w:hAnsi="Times New Roman"/>
          <w:b/>
        </w:rPr>
        <w:t>Works Cited</w:t>
      </w:r>
    </w:p>
    <w:p w:rsidR="00114F76" w:rsidRDefault="00114F76" w:rsidP="00945602">
      <w:pPr>
        <w:spacing w:line="240" w:lineRule="auto"/>
        <w:rPr>
          <w:rFonts w:ascii="Times New Roman" w:hAnsi="Times New Roman"/>
        </w:rPr>
      </w:pPr>
      <w:r w:rsidRPr="00625C68">
        <w:rPr>
          <w:rFonts w:ascii="Times New Roman" w:hAnsi="Times New Roman"/>
        </w:rPr>
        <w:t xml:space="preserve">Bailey, Melissa. "City ID Plan Approved." </w:t>
      </w:r>
      <w:r w:rsidRPr="00625C68">
        <w:rPr>
          <w:rFonts w:ascii="Times New Roman" w:hAnsi="Times New Roman"/>
          <w:i/>
          <w:iCs/>
        </w:rPr>
        <w:t>New Haven Independent</w:t>
      </w:r>
      <w:r w:rsidRPr="00625C68">
        <w:rPr>
          <w:rFonts w:ascii="Times New Roman" w:hAnsi="Times New Roman"/>
        </w:rPr>
        <w:t xml:space="preserve"> June 5 2007: n. pag. Web. 09 Dec 2009. &lt;http://newhavenindependent.org/archives/2007/06/city_id_plan_ap.php&gt;.</w:t>
      </w:r>
    </w:p>
    <w:p w:rsidR="00114F76" w:rsidRDefault="00114F76" w:rsidP="0010031A">
      <w:pPr>
        <w:spacing w:line="240" w:lineRule="auto"/>
        <w:ind w:firstLine="720"/>
        <w:rPr>
          <w:rFonts w:ascii="Times New Roman" w:hAnsi="Times New Roman"/>
        </w:rPr>
      </w:pPr>
    </w:p>
    <w:p w:rsidR="00114F76" w:rsidRDefault="00114F76" w:rsidP="00945602">
      <w:pPr>
        <w:spacing w:line="240" w:lineRule="auto"/>
      </w:pPr>
      <w:r>
        <w:lastRenderedPageBreak/>
        <w:t xml:space="preserve">Capps, Randy, Karina Fortuny, Allison Cook, Everett Henderson, and Steve Zuckerman. "The Urban Institute." </w:t>
      </w:r>
      <w:r>
        <w:rPr>
          <w:i/>
          <w:iCs/>
        </w:rPr>
        <w:t>Immigrants in CT: Labor Market Experiences and Health Care Access</w:t>
      </w:r>
      <w:r>
        <w:t>. November 2005. Democracy Works, Web. 09 Dec 2009. &lt;http://www.urban.org/UploadedPDF/311256_immigrants_in_connecticut.pdf&gt;.</w:t>
      </w:r>
    </w:p>
    <w:p w:rsidR="008D070D" w:rsidRDefault="00114F76" w:rsidP="00945602">
      <w:pPr>
        <w:spacing w:line="240" w:lineRule="auto"/>
      </w:pPr>
      <w:r>
        <w:t xml:space="preserve">Connecticut Laborers District Council </w:t>
      </w:r>
      <w:r w:rsidR="008D070D">
        <w:t>9(</w:t>
      </w:r>
      <w:r>
        <w:t>Charles LeConche</w:t>
      </w:r>
      <w:r w:rsidR="008D070D">
        <w:t>)</w:t>
      </w:r>
      <w:r>
        <w:t xml:space="preserve"> 230 Charles LeConche Business Manager construction LIUNA.</w:t>
      </w:r>
      <w:r w:rsidR="008D070D">
        <w:t xml:space="preserve"> Construction Unions Contractors Battle over Workers</w:t>
      </w:r>
      <w:r>
        <w:t xml:space="preserve">. </w:t>
      </w:r>
      <w:r w:rsidR="008D070D">
        <w:t>March 16, 2008</w:t>
      </w:r>
      <w:r>
        <w:t xml:space="preserve">. </w:t>
      </w:r>
    </w:p>
    <w:p w:rsidR="00114F76" w:rsidRDefault="00114F76" w:rsidP="00945602">
      <w:pPr>
        <w:spacing w:line="240" w:lineRule="auto"/>
      </w:pPr>
      <w:r>
        <w:t xml:space="preserve">U.S. Department of Labor. </w:t>
      </w:r>
      <w:r>
        <w:rPr>
          <w:i/>
          <w:iCs/>
        </w:rPr>
        <w:t>Bureau of Labor Statistics</w:t>
      </w:r>
      <w:r>
        <w:t>. Web. 08 Dec 2009. &lt;www.bls.gov&gt;.</w:t>
      </w:r>
    </w:p>
    <w:p w:rsidR="00945602" w:rsidRDefault="00945602" w:rsidP="0010031A"/>
    <w:p w:rsidR="00945602" w:rsidRPr="00945602" w:rsidRDefault="00945602" w:rsidP="0010031A">
      <w:pPr>
        <w:rPr>
          <w:b/>
        </w:rPr>
      </w:pPr>
      <w:r>
        <w:rPr>
          <w:b/>
        </w:rPr>
        <w:t>Regional Patterns of Employment and Unemployment</w:t>
      </w:r>
    </w:p>
    <w:p w:rsidR="00FE4C37" w:rsidRDefault="00FE4C37" w:rsidP="0010031A">
      <w:r>
        <w:rPr>
          <w:noProof/>
        </w:rPr>
        <w:drawing>
          <wp:anchor distT="0" distB="0" distL="114300" distR="114300" simplePos="0" relativeHeight="251662336" behindDoc="1" locked="0" layoutInCell="1" allowOverlap="1">
            <wp:simplePos x="0" y="0"/>
            <wp:positionH relativeFrom="column">
              <wp:posOffset>228600</wp:posOffset>
            </wp:positionH>
            <wp:positionV relativeFrom="paragraph">
              <wp:posOffset>1363980</wp:posOffset>
            </wp:positionV>
            <wp:extent cx="5486400" cy="3933825"/>
            <wp:effectExtent l="19050" t="0" r="0" b="0"/>
            <wp:wrapTight wrapText="bothSides">
              <wp:wrapPolygon edited="0">
                <wp:start x="-75" y="0"/>
                <wp:lineTo x="-75" y="21548"/>
                <wp:lineTo x="21600" y="21548"/>
                <wp:lineTo x="21600" y="0"/>
                <wp:lineTo x="-75" y="0"/>
              </wp:wrapPolygon>
            </wp:wrapTight>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486400" cy="3933825"/>
                    </a:xfrm>
                    <a:prstGeom prst="rect">
                      <a:avLst/>
                    </a:prstGeom>
                    <a:noFill/>
                    <a:ln w="9525">
                      <a:noFill/>
                      <a:miter lim="800000"/>
                      <a:headEnd/>
                      <a:tailEnd/>
                    </a:ln>
                  </pic:spPr>
                </pic:pic>
              </a:graphicData>
            </a:graphic>
          </wp:anchor>
        </w:drawing>
      </w:r>
      <w:r>
        <w:t xml:space="preserve">The United States officially entered a state of recession in December 2008. </w:t>
      </w:r>
      <w:smartTag w:uri="urn:schemas-microsoft-com:office:smarttags" w:element="place">
        <w:smartTag w:uri="urn:schemas-microsoft-com:office:smarttags" w:element="State">
          <w:r>
            <w:t>Connecticut</w:t>
          </w:r>
        </w:smartTag>
      </w:smartTag>
      <w:r>
        <w:t xml:space="preserve">’s economy followed shortly after, in March 2008. Even though Senator Lieberman said in February 2009 that Connecticut will see $2.9 billion </w:t>
      </w:r>
      <w:r w:rsidR="00077B64">
        <w:t xml:space="preserve">in </w:t>
      </w:r>
      <w:r>
        <w:t>funding to stimulate the economy, according to statistics from October 2009 Connecticut still has an unemployment rate of 8.8%. This number can be compared to the national unemployment rate of 10.2%.</w:t>
      </w:r>
      <w:r w:rsidR="00077B64">
        <w:t xml:space="preserve"> The State is divided into nine labor market areas, each experiencing different employment conditions:</w:t>
      </w:r>
      <w:r>
        <w:t xml:space="preserve">  </w:t>
      </w:r>
    </w:p>
    <w:p w:rsidR="00FE4C37" w:rsidRDefault="00FE4C37" w:rsidP="00FE4C37">
      <w:pPr>
        <w:ind w:firstLine="720"/>
      </w:pPr>
      <w:r>
        <w:rPr>
          <w:noProof/>
        </w:rPr>
        <w:drawing>
          <wp:inline distT="0" distB="0" distL="0" distR="0">
            <wp:extent cx="4572104" cy="2746608"/>
            <wp:effectExtent l="12207" t="6117" r="6104" b="0"/>
            <wp:docPr id="269" name="C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E4C37" w:rsidRPr="003B296B" w:rsidRDefault="00FE4C37" w:rsidP="00FE4C37">
      <w:pPr>
        <w:rPr>
          <w:sz w:val="20"/>
          <w:szCs w:val="20"/>
        </w:rPr>
      </w:pPr>
      <w:r>
        <w:tab/>
      </w:r>
      <w:r w:rsidRPr="003B296B">
        <w:rPr>
          <w:i/>
          <w:sz w:val="20"/>
          <w:szCs w:val="20"/>
        </w:rPr>
        <w:t>Graph of Unemployed vs. Employed in the nine labor markets of Connecticut</w:t>
      </w:r>
      <w:r w:rsidRPr="003B296B">
        <w:rPr>
          <w:sz w:val="20"/>
          <w:szCs w:val="20"/>
        </w:rPr>
        <w:tab/>
      </w:r>
    </w:p>
    <w:p w:rsidR="00FE4C37" w:rsidRDefault="00FE4C37" w:rsidP="00FE4C37"/>
    <w:p w:rsidR="00FE4C37" w:rsidRPr="002F0948" w:rsidRDefault="00FE4C37" w:rsidP="00945602">
      <w:r>
        <w:lastRenderedPageBreak/>
        <w:t xml:space="preserve">The five industries that are making the largest relative contribution to Connecticut’s real GDP (Growth Domestic Product) growth are Finance and Insurance, Manufacturing, Real estate and rental and leasing, Government, and Health Care and social assistance. </w:t>
      </w:r>
      <w:r w:rsidR="00077B64">
        <w:t xml:space="preserve"> Specialization within labor market areas has resulted in differing levels of labor market stress during this current downturn.  </w:t>
      </w:r>
      <w:r>
        <w:t xml:space="preserve">Hartford, Connecticut’s state capital and second largest city, is for example known for its Finance and Insurance. It is therefore not surprising that </w:t>
      </w:r>
      <w:smartTag w:uri="urn:schemas-microsoft-com:office:smarttags" w:element="place">
        <w:smartTag w:uri="urn:schemas-microsoft-com:office:smarttags" w:element="City">
          <w:r>
            <w:t>Hartford</w:t>
          </w:r>
        </w:smartTag>
      </w:smartTag>
      <w:r>
        <w:t xml:space="preserve"> is often called “the insurance capital of the world”. Besides this, Hartford has also an </w:t>
      </w:r>
      <w:r w:rsidRPr="00047095">
        <w:t xml:space="preserve">extensive list of major high-tech manufacturing firms producing products </w:t>
      </w:r>
      <w:r w:rsidR="004863DA">
        <w:t xml:space="preserve">such </w:t>
      </w:r>
      <w:r w:rsidRPr="00047095">
        <w:t>as aircraft engines, nuclear reactors, space suits, and missile components</w:t>
      </w:r>
      <w:r>
        <w:t>.</w:t>
      </w:r>
    </w:p>
    <w:p w:rsidR="00FE4C37" w:rsidRDefault="00FE4C37" w:rsidP="00945602">
      <w:r>
        <w:t xml:space="preserve">Hartford’s labor market area is located in the middle of Connecticut. This area had an unemployment rate of 8.4% as of October 2009, a total of 50.516 people out of a 600.602 are unemployed. Surprisingly, </w:t>
      </w:r>
      <w:smartTag w:uri="urn:schemas-microsoft-com:office:smarttags" w:element="City">
        <w:smartTag w:uri="urn:schemas-microsoft-com:office:smarttags" w:element="place">
          <w:r>
            <w:t>Hartford</w:t>
          </w:r>
        </w:smartTag>
      </w:smartTag>
      <w:r>
        <w:t xml:space="preserve"> hardly encounters any labor losses in its main financial activities. Looking to data from October 2008 and October 2009, the total labor force in this sector dropped </w:t>
      </w:r>
      <w:r w:rsidR="004863DA">
        <w:t>five</w:t>
      </w:r>
      <w:r>
        <w:t xml:space="preserve"> percent only. While on the other hand, construction, natural resources and mining saw the biggest change in its employment. This change was 19.7%. Manufacturing, and especially durable goods</w:t>
      </w:r>
      <w:r w:rsidR="004863DA">
        <w:t xml:space="preserve"> manufacturing</w:t>
      </w:r>
      <w:r>
        <w:t xml:space="preserve">, came on a second place with a change of 10%. </w:t>
      </w:r>
      <w:r w:rsidRPr="0070160A">
        <w:rPr>
          <w:rStyle w:val="FootnoteReference"/>
        </w:rPr>
        <w:footnoteReference w:customMarkFollows="1" w:id="1"/>
        <w:sym w:font="Symbol" w:char="F02A"/>
      </w:r>
      <w:r>
        <w:t xml:space="preserve"> The towns in the </w:t>
      </w:r>
      <w:smartTag w:uri="urn:schemas-microsoft-com:office:smarttags" w:element="City">
        <w:r>
          <w:t>Hartford</w:t>
        </w:r>
      </w:smartTag>
      <w:r>
        <w:t xml:space="preserve"> labor market area that are most affected by the economic recession are respectively </w:t>
      </w:r>
      <w:smartTag w:uri="urn:schemas-microsoft-com:office:smarttags" w:element="City">
        <w:r>
          <w:t>Hartford</w:t>
        </w:r>
      </w:smartTag>
      <w:r>
        <w:t xml:space="preserve"> itself (14.4% unemployed), </w:t>
      </w:r>
      <w:smartTag w:uri="urn:schemas-microsoft-com:office:smarttags" w:element="City">
        <w:r>
          <w:t>New Britain</w:t>
        </w:r>
      </w:smartTag>
      <w:r>
        <w:t xml:space="preserve"> (12.3% unemployed), East Hartford (10.4% unemployed), and </w:t>
      </w:r>
      <w:smartTag w:uri="urn:schemas-microsoft-com:office:smarttags" w:element="City">
        <w:smartTag w:uri="urn:schemas-microsoft-com:office:smarttags" w:element="place">
          <w:r>
            <w:t>Plymouth</w:t>
          </w:r>
        </w:smartTag>
      </w:smartTag>
      <w:r>
        <w:t xml:space="preserve"> (9.9% unemployed).</w:t>
      </w:r>
    </w:p>
    <w:p w:rsidR="00FE4C37" w:rsidRDefault="00FE4C37" w:rsidP="00945602">
      <w:r>
        <w:t xml:space="preserve">To create employment Hartford has started several development projects. One of </w:t>
      </w:r>
      <w:smartTag w:uri="urn:schemas-microsoft-com:office:smarttags" w:element="City">
        <w:r>
          <w:t>Hartford</w:t>
        </w:r>
      </w:smartTag>
      <w:r>
        <w:t>’s most important development project</w:t>
      </w:r>
      <w:r w:rsidR="00945602">
        <w:t>s</w:t>
      </w:r>
      <w:r>
        <w:t xml:space="preserve"> is the 30-acre </w:t>
      </w:r>
      <w:r w:rsidRPr="00E72147">
        <w:rPr>
          <w:i/>
        </w:rPr>
        <w:t>Adriaen’s Landing</w:t>
      </w:r>
      <w:r>
        <w:t xml:space="preserve"> site on the </w:t>
      </w:r>
      <w:smartTag w:uri="urn:schemas-microsoft-com:office:smarttags" w:element="place">
        <w:r>
          <w:t>Connecticut River</w:t>
        </w:r>
      </w:smartTag>
      <w:r>
        <w:t>. This project consists of</w:t>
      </w:r>
      <w:r w:rsidR="00267F46">
        <w:t xml:space="preserve"> a</w:t>
      </w:r>
      <w:r>
        <w:t xml:space="preserve"> large convention center combined with a 22-story </w:t>
      </w:r>
      <w:r w:rsidRPr="00E72147">
        <w:rPr>
          <w:i/>
        </w:rPr>
        <w:t>Marriott Hotel</w:t>
      </w:r>
      <w:r>
        <w:t xml:space="preserve">. Another development project the state hopes that will stimulate employment rate </w:t>
      </w:r>
      <w:r w:rsidRPr="009F0752">
        <w:rPr>
          <w:i/>
        </w:rPr>
        <w:t>The Hartford 21</w:t>
      </w:r>
      <w:r w:rsidR="008D231C" w:rsidRPr="009F0752">
        <w:rPr>
          <w:i/>
        </w:rPr>
        <w:t xml:space="preserve"> </w:t>
      </w:r>
      <w:r w:rsidRPr="009F0752">
        <w:rPr>
          <w:i/>
        </w:rPr>
        <w:t>project</w:t>
      </w:r>
      <w:r w:rsidR="008D231C">
        <w:t>, which will create a mixture of luxury apartments and commercial space housed in the City’s old civic center.</w:t>
      </w:r>
    </w:p>
    <w:p w:rsidR="00FE4C37" w:rsidRDefault="00FE4C37" w:rsidP="00945602">
      <w:r>
        <w:t xml:space="preserve">The city of Hartford had an estimated median household income of $27,654 in 2007. This is an increase compared to the $24,820 it was in 2000. This income is being earned by females in industries such as health care (18%) and finance and insurance (11%). While for males the common industries are administrative and support and waste management services (9%), construction, and accommodation and food services (both 8%). </w:t>
      </w:r>
      <w:r w:rsidR="00267F46">
        <w:t xml:space="preserve">For men, </w:t>
      </w:r>
      <w:r>
        <w:t xml:space="preserve">the finance and insurance industry comes in at </w:t>
      </w:r>
      <w:r w:rsidR="00267F46">
        <w:t>only</w:t>
      </w:r>
      <w:r>
        <w:t xml:space="preserve"> 5</w:t>
      </w:r>
      <w:r w:rsidRPr="00163DC9">
        <w:rPr>
          <w:vertAlign w:val="superscript"/>
        </w:rPr>
        <w:t>th</w:t>
      </w:r>
      <w:r>
        <w:t xml:space="preserve"> place with 6%</w:t>
      </w:r>
      <w:r w:rsidR="00267F46">
        <w:t xml:space="preserve"> of total employment</w:t>
      </w:r>
      <w:r>
        <w:t xml:space="preserve">. </w:t>
      </w:r>
    </w:p>
    <w:p w:rsidR="00FE4C37" w:rsidRDefault="008D231C" w:rsidP="008D231C">
      <w:r>
        <w:t xml:space="preserve">In the Northwest of the State, the </w:t>
      </w:r>
      <w:r w:rsidR="00FE4C37">
        <w:t>Torrington</w:t>
      </w:r>
      <w:r>
        <w:t xml:space="preserve"> LMA has </w:t>
      </w:r>
      <w:r w:rsidR="00FE4C37">
        <w:t>a labor force of only 55,374 Torrington is one of the smallest labor market areas in the state</w:t>
      </w:r>
      <w:r>
        <w:t>.</w:t>
      </w:r>
      <w:r w:rsidR="00FE4C37">
        <w:t xml:space="preserve"> Of the people in this labor force 4,514 are unemployed. This gives a rate of 8.2%. The towns with the highest unemployment rates in this labor market area are Torrington (10.4%), Winchester (9.6%), and Morris (7.7%). The town of Torrington is not only known for its scenic beauty, it is also known for </w:t>
      </w:r>
      <w:r w:rsidR="00FE4C37" w:rsidRPr="00036A02">
        <w:t xml:space="preserve">a mix of </w:t>
      </w:r>
      <w:r w:rsidR="00FE4C37">
        <w:t xml:space="preserve">employment opportunities </w:t>
      </w:r>
      <w:r w:rsidR="004863DA">
        <w:t>in</w:t>
      </w:r>
      <w:r w:rsidR="00FE4C37">
        <w:t xml:space="preserve"> </w:t>
      </w:r>
      <w:r w:rsidR="00FE4C37" w:rsidRPr="00036A02">
        <w:t>manufacturing, retail, and tourist attractions.</w:t>
      </w:r>
      <w:r w:rsidR="00FE4C37">
        <w:t xml:space="preserve"> The quarterly average wage in March 2009 in is these sectors (for the </w:t>
      </w:r>
      <w:smartTag w:uri="urn:schemas-microsoft-com:office:smarttags" w:element="City">
        <w:smartTag w:uri="urn:schemas-microsoft-com:office:smarttags" w:element="place">
          <w:r w:rsidR="00FE4C37">
            <w:t>Torrington</w:t>
          </w:r>
        </w:smartTag>
      </w:smartTag>
      <w:r w:rsidR="00FE4C37">
        <w:t xml:space="preserve"> labor market area as a whole) was </w:t>
      </w:r>
      <w:r w:rsidR="00FE4C37" w:rsidRPr="006E07C7">
        <w:rPr>
          <w:bCs/>
        </w:rPr>
        <w:t>$12,022</w:t>
      </w:r>
      <w:r w:rsidR="00FE4C37">
        <w:rPr>
          <w:bCs/>
        </w:rPr>
        <w:t xml:space="preserve"> for manufacturing, </w:t>
      </w:r>
      <w:r w:rsidR="00FE4C37" w:rsidRPr="006E07C7">
        <w:rPr>
          <w:bCs/>
        </w:rPr>
        <w:t>$6,930</w:t>
      </w:r>
      <w:r w:rsidR="00FE4C37">
        <w:rPr>
          <w:bCs/>
        </w:rPr>
        <w:t xml:space="preserve"> </w:t>
      </w:r>
      <w:r w:rsidR="00FE4C37">
        <w:t xml:space="preserve">for construction, and </w:t>
      </w:r>
      <w:r w:rsidR="00FE4C37" w:rsidRPr="006E07C7">
        <w:rPr>
          <w:bCs/>
        </w:rPr>
        <w:t>$7,340</w:t>
      </w:r>
      <w:r w:rsidR="00FE4C37">
        <w:rPr>
          <w:bCs/>
        </w:rPr>
        <w:t xml:space="preserve"> for recreation. </w:t>
      </w:r>
      <w:r w:rsidR="00FE4C37" w:rsidRPr="006E07C7">
        <w:t>The</w:t>
      </w:r>
      <w:r w:rsidR="00FE4C37">
        <w:t xml:space="preserve"> top five employers in this town are t</w:t>
      </w:r>
      <w:r w:rsidR="00FE4C37" w:rsidRPr="00036A02">
        <w:t xml:space="preserve">he </w:t>
      </w:r>
      <w:r w:rsidR="00FE4C37" w:rsidRPr="00E72147">
        <w:rPr>
          <w:i/>
        </w:rPr>
        <w:t>Torrington Company</w:t>
      </w:r>
      <w:r w:rsidR="00FE4C37">
        <w:t>, t</w:t>
      </w:r>
      <w:r w:rsidR="00FE4C37" w:rsidRPr="00036A02">
        <w:t xml:space="preserve">he </w:t>
      </w:r>
      <w:smartTag w:uri="urn:schemas-microsoft-com:office:smarttags" w:element="place">
        <w:smartTag w:uri="urn:schemas-microsoft-com:office:smarttags" w:element="PlaceName">
          <w:r w:rsidR="00FE4C37" w:rsidRPr="00E72147">
            <w:rPr>
              <w:i/>
            </w:rPr>
            <w:t>Charlotte</w:t>
          </w:r>
        </w:smartTag>
        <w:r w:rsidR="00FE4C37" w:rsidRPr="00E72147">
          <w:rPr>
            <w:i/>
          </w:rPr>
          <w:t xml:space="preserve"> </w:t>
        </w:r>
        <w:smartTag w:uri="urn:schemas-microsoft-com:office:smarttags" w:element="PlaceName">
          <w:r w:rsidR="00FE4C37" w:rsidRPr="00E72147">
            <w:rPr>
              <w:i/>
            </w:rPr>
            <w:t>Hungerford</w:t>
          </w:r>
        </w:smartTag>
        <w:r w:rsidR="00FE4C37" w:rsidRPr="00036A02">
          <w:t xml:space="preserve"> </w:t>
        </w:r>
        <w:smartTag w:uri="urn:schemas-microsoft-com:office:smarttags" w:element="PlaceType">
          <w:r w:rsidR="00FE4C37" w:rsidRPr="00E72147">
            <w:rPr>
              <w:i/>
            </w:rPr>
            <w:lastRenderedPageBreak/>
            <w:t>Hospital</w:t>
          </w:r>
        </w:smartTag>
      </w:smartTag>
      <w:r w:rsidR="00FE4C37" w:rsidRPr="00E72147">
        <w:rPr>
          <w:i/>
        </w:rPr>
        <w:t>, O&amp;G Industries</w:t>
      </w:r>
      <w:r w:rsidR="00FE4C37">
        <w:t xml:space="preserve">, the </w:t>
      </w:r>
      <w:r w:rsidR="00FE4C37" w:rsidRPr="00E72147">
        <w:rPr>
          <w:i/>
        </w:rPr>
        <w:t>Torrington Board of Education</w:t>
      </w:r>
      <w:r w:rsidR="00FE4C37">
        <w:t xml:space="preserve">, and </w:t>
      </w:r>
      <w:r w:rsidR="00FE4C37" w:rsidRPr="00E72147">
        <w:rPr>
          <w:i/>
        </w:rPr>
        <w:t>F.M. precision Golf Corporation</w:t>
      </w:r>
      <w:r w:rsidR="00FE4C37">
        <w:t xml:space="preserve">. Since the city of </w:t>
      </w:r>
      <w:smartTag w:uri="urn:schemas-microsoft-com:office:smarttags" w:element="place">
        <w:smartTag w:uri="urn:schemas-microsoft-com:office:smarttags" w:element="City">
          <w:r w:rsidR="00FE4C37">
            <w:t>Torrington</w:t>
          </w:r>
        </w:smartTag>
      </w:smartTag>
      <w:r w:rsidR="00FE4C37">
        <w:t xml:space="preserve"> is hit the most by today’s economic decline the Office of Economic Development in June 2009 has set up a plan to provide extensive support to current and prospective businesses of all sizes. </w:t>
      </w:r>
    </w:p>
    <w:p w:rsidR="00FE4C37" w:rsidRDefault="00FE4C37" w:rsidP="008D231C">
      <w:pPr>
        <w:rPr>
          <w:sz w:val="23"/>
          <w:szCs w:val="23"/>
        </w:rPr>
      </w:pPr>
      <w:r>
        <w:t xml:space="preserve">The basics of the plan are diversifying Torrington’s tax base, creating new employment opportunities, and strengthening the City’s role as the regional heart of Litchfield County. The Office of Economic Development wants to do this by recruiting companies to relocate to the City of </w:t>
      </w:r>
      <w:smartTag w:uri="urn:schemas-microsoft-com:office:smarttags" w:element="City">
        <w:smartTag w:uri="urn:schemas-microsoft-com:office:smarttags" w:element="place">
          <w:r>
            <w:t>Torrington</w:t>
          </w:r>
        </w:smartTag>
      </w:smartTag>
      <w:r>
        <w:t xml:space="preserve">. It also looks to redevelop the downtown areas of </w:t>
      </w:r>
      <w:smartTag w:uri="urn:schemas-microsoft-com:office:smarttags" w:element="City">
        <w:smartTag w:uri="urn:schemas-microsoft-com:office:smarttags" w:element="place">
          <w:r>
            <w:t>Torrington</w:t>
          </w:r>
        </w:smartTag>
      </w:smartTag>
      <w:r>
        <w:t>, by making it more attractive for residents and visitors. It plans on doing this by incorporating a better flow of traffic, creating mixed housing / retail spaces</w:t>
      </w:r>
      <w:r w:rsidR="00AA719E">
        <w:t xml:space="preserve"> in the west side of Torrington</w:t>
      </w:r>
      <w:r>
        <w:t xml:space="preserve">, and landscaping certain areas. Since </w:t>
      </w:r>
      <w:smartTag w:uri="urn:schemas-microsoft-com:office:smarttags" w:element="City">
        <w:r>
          <w:t>Torrington</w:t>
        </w:r>
      </w:smartTag>
      <w:r>
        <w:t xml:space="preserve"> has some</w:t>
      </w:r>
      <w:r>
        <w:rPr>
          <w:sz w:val="23"/>
          <w:szCs w:val="23"/>
        </w:rPr>
        <w:t xml:space="preserve"> neighborhoods that were once the residence of employed industrial workers but now are large vacant abandoned campuses, which have environmental contaminants that are preventing redevelopment and the creation of new job opportunities, </w:t>
      </w:r>
      <w:smartTag w:uri="urn:schemas-microsoft-com:office:smarttags" w:element="City">
        <w:smartTag w:uri="urn:schemas-microsoft-com:office:smarttags" w:element="place">
          <w:r>
            <w:rPr>
              <w:sz w:val="23"/>
              <w:szCs w:val="23"/>
            </w:rPr>
            <w:t>Torrington</w:t>
          </w:r>
        </w:smartTag>
      </w:smartTag>
      <w:r>
        <w:rPr>
          <w:sz w:val="23"/>
          <w:szCs w:val="23"/>
        </w:rPr>
        <w:t xml:space="preserve"> wants to revitalize these neighborhoods. </w:t>
      </w:r>
      <w:r>
        <w:t xml:space="preserve">Furthermore, the town of Torrington wants to foster the creation of small businesses and </w:t>
      </w:r>
      <w:r>
        <w:rPr>
          <w:sz w:val="23"/>
          <w:szCs w:val="23"/>
        </w:rPr>
        <w:t xml:space="preserve">will continue to promote itself as the cultural and recreational hub of Northwest Connecticut in order to bring more tourists into the City and receive a larger percentage of the tourism dollars spent in Litchfield Hills. However, the minutes of September 2009 show that </w:t>
      </w:r>
      <w:smartTag w:uri="urn:schemas-microsoft-com:office:smarttags" w:element="City">
        <w:smartTag w:uri="urn:schemas-microsoft-com:office:smarttags" w:element="place">
          <w:r>
            <w:rPr>
              <w:sz w:val="23"/>
              <w:szCs w:val="23"/>
            </w:rPr>
            <w:t>Torrington</w:t>
          </w:r>
        </w:smartTag>
      </w:smartTag>
      <w:r>
        <w:rPr>
          <w:sz w:val="23"/>
          <w:szCs w:val="23"/>
        </w:rPr>
        <w:t xml:space="preserve"> hasn’t really made big efforts to start this plan. In the minutes one can read that the main principle is cleaning up certain areas. It is thus questionable if this town actively tries to create more employment. A possible reason for not actively stimulating this area is that the house sales in </w:t>
      </w:r>
      <w:smartTag w:uri="urn:schemas-microsoft-com:office:smarttags" w:element="City">
        <w:smartTag w:uri="urn:schemas-microsoft-com:office:smarttags" w:element="place">
          <w:r>
            <w:rPr>
              <w:sz w:val="23"/>
              <w:szCs w:val="23"/>
            </w:rPr>
            <w:t>Torrington</w:t>
          </w:r>
        </w:smartTag>
      </w:smartTag>
      <w:r>
        <w:rPr>
          <w:sz w:val="23"/>
          <w:szCs w:val="23"/>
        </w:rPr>
        <w:t xml:space="preserve"> are slowly decreasing, while the median price is slightly increasing. This means, that the housing market is stabilizing. Therefore one may think that economic stimulation can wait. </w:t>
      </w:r>
    </w:p>
    <w:p w:rsidR="00FE4C37" w:rsidRDefault="00FE4C37" w:rsidP="008D231C">
      <w:r>
        <w:rPr>
          <w:sz w:val="23"/>
          <w:szCs w:val="23"/>
        </w:rPr>
        <w:t>However, since Litchfield County</w:t>
      </w:r>
      <w:r w:rsidR="008D231C">
        <w:rPr>
          <w:sz w:val="23"/>
          <w:szCs w:val="23"/>
        </w:rPr>
        <w:t xml:space="preserve"> is </w:t>
      </w:r>
      <w:r>
        <w:rPr>
          <w:sz w:val="23"/>
          <w:szCs w:val="23"/>
        </w:rPr>
        <w:t xml:space="preserve">a very small area, with an estimated population in 2008 of </w:t>
      </w:r>
      <w:r w:rsidRPr="00182598">
        <w:rPr>
          <w:sz w:val="23"/>
          <w:szCs w:val="23"/>
        </w:rPr>
        <w:t>187,745</w:t>
      </w:r>
      <w:r>
        <w:rPr>
          <w:sz w:val="23"/>
          <w:szCs w:val="23"/>
        </w:rPr>
        <w:t xml:space="preserve"> compared to about 3,500,000 of the whole state, it might not have enough money for economic </w:t>
      </w:r>
      <w:r w:rsidR="008D231C">
        <w:rPr>
          <w:sz w:val="23"/>
          <w:szCs w:val="23"/>
        </w:rPr>
        <w:t>redevelopment</w:t>
      </w:r>
      <w:r>
        <w:rPr>
          <w:sz w:val="23"/>
          <w:szCs w:val="23"/>
        </w:rPr>
        <w:t>. According to the U.S. Census Bureau Litchfield County has a small number of building permits (261) in 2008, as well as a small amount of federal spending ($</w:t>
      </w:r>
      <w:r w:rsidRPr="00182598">
        <w:rPr>
          <w:sz w:val="23"/>
          <w:szCs w:val="23"/>
        </w:rPr>
        <w:t>1,081,351</w:t>
      </w:r>
      <w:r>
        <w:rPr>
          <w:sz w:val="23"/>
          <w:szCs w:val="23"/>
        </w:rPr>
        <w:t xml:space="preserve">). An example of this spending can be found at the Winsted Republican website. The area of Winchester is now receiving funding of approximately $55,000. However, what can one do with this money? It will not be enough to </w:t>
      </w:r>
      <w:r w:rsidR="008D231C">
        <w:rPr>
          <w:sz w:val="23"/>
          <w:szCs w:val="23"/>
        </w:rPr>
        <w:t xml:space="preserve">generate effective development to </w:t>
      </w:r>
      <w:r>
        <w:rPr>
          <w:sz w:val="23"/>
          <w:szCs w:val="23"/>
        </w:rPr>
        <w:t xml:space="preserve">stimulate </w:t>
      </w:r>
      <w:r w:rsidR="008D231C">
        <w:rPr>
          <w:sz w:val="23"/>
          <w:szCs w:val="23"/>
        </w:rPr>
        <w:t>job growth</w:t>
      </w:r>
      <w:r>
        <w:rPr>
          <w:sz w:val="23"/>
          <w:szCs w:val="23"/>
        </w:rPr>
        <w:t xml:space="preserve">. </w:t>
      </w:r>
    </w:p>
    <w:p w:rsidR="00FE4C37" w:rsidRDefault="00FE4C37" w:rsidP="008D231C">
      <w:r>
        <w:t xml:space="preserve">Torrington’s median household income in 2007 was $50,863. The most common occupations in this area for males are other </w:t>
      </w:r>
      <w:r w:rsidRPr="00DF5F2A">
        <w:t xml:space="preserve">production occupations including supervisors (7%) </w:t>
      </w:r>
      <w:r>
        <w:t>and metal and plastic workers (7%). For females the most common occupations are o</w:t>
      </w:r>
      <w:r w:rsidRPr="0071715E">
        <w:t>ther office and administrative support workers includin</w:t>
      </w:r>
      <w:r>
        <w:t>g supervisors (6%) and s</w:t>
      </w:r>
      <w:r w:rsidRPr="0071715E">
        <w:t>ecretaries and administrative assistants (6%)</w:t>
      </w:r>
      <w:r>
        <w:t>.</w:t>
      </w:r>
    </w:p>
    <w:p w:rsidR="00FE4C37" w:rsidRDefault="00FE4C37" w:rsidP="008D231C">
      <w:pPr>
        <w:rPr>
          <w:color w:val="000000"/>
        </w:rPr>
      </w:pPr>
      <w:r>
        <w:t xml:space="preserve">Located on the north side of Connecticut is the smallest labor market area of the Connecticut state: Enfield. </w:t>
      </w:r>
      <w:smartTag w:uri="urn:schemas-microsoft-com:office:smarttags" w:element="place">
        <w:smartTag w:uri="urn:schemas-microsoft-com:office:smarttags" w:element="City">
          <w:r>
            <w:t>Enfield</w:t>
          </w:r>
        </w:smartTag>
      </w:smartTag>
      <w:r>
        <w:t xml:space="preserve"> has a labor market force of 50,242. Out of this number 3,893 are unemployed, which leads to an unemployment rate of 7.7%. Thereby it is the second lowest from </w:t>
      </w:r>
      <w:smartTag w:uri="urn:schemas-microsoft-com:office:smarttags" w:element="place">
        <w:smartTag w:uri="urn:schemas-microsoft-com:office:smarttags" w:element="State">
          <w:r>
            <w:t>Connecticut</w:t>
          </w:r>
        </w:smartTag>
      </w:smartTag>
      <w:r>
        <w:t>’s nine labor markets. One of the biggest industries in Enfield labo</w:t>
      </w:r>
      <w:r w:rsidR="008D231C">
        <w:t>r market area is manufacturing, e</w:t>
      </w:r>
      <w:r>
        <w:t>specially t</w:t>
      </w:r>
      <w:r w:rsidRPr="000D2E89">
        <w:t>ransportation equipment manufacturing</w:t>
      </w:r>
      <w:r>
        <w:t xml:space="preserve">. The average quarterly wage in March 2009 for this sector </w:t>
      </w:r>
      <w:r w:rsidRPr="000D2E89">
        <w:t xml:space="preserve">was </w:t>
      </w:r>
      <w:r w:rsidRPr="000D2E89">
        <w:rPr>
          <w:color w:val="000000"/>
        </w:rPr>
        <w:lastRenderedPageBreak/>
        <w:t>$24,228</w:t>
      </w:r>
      <w:r>
        <w:rPr>
          <w:color w:val="000000"/>
        </w:rPr>
        <w:t>. Compared to the $22,761 it was</w:t>
      </w:r>
      <w:r w:rsidRPr="000D2E89">
        <w:rPr>
          <w:color w:val="000000"/>
        </w:rPr>
        <w:t xml:space="preserve"> in the fourth quarte</w:t>
      </w:r>
      <w:r>
        <w:rPr>
          <w:color w:val="000000"/>
        </w:rPr>
        <w:t xml:space="preserve">r of 2008, it shows that the wages in this part of the industry are growing as well. </w:t>
      </w:r>
    </w:p>
    <w:p w:rsidR="00FE4C37" w:rsidRDefault="00FE4C37" w:rsidP="008D231C">
      <w:pPr>
        <w:rPr>
          <w:color w:val="000000"/>
        </w:rPr>
      </w:pPr>
      <w:r>
        <w:rPr>
          <w:color w:val="000000"/>
        </w:rPr>
        <w:t xml:space="preserve">The towns that are affected most by the economic downturn in this last area are East Windsor (8.3% unemployed), Windsor Locks (8.2%), and Enfield (8.0% unemployed). All of these towns are located near </w:t>
      </w:r>
      <w:smartTag w:uri="urn:schemas-microsoft-com:office:smarttags" w:element="place">
        <w:smartTag w:uri="urn:schemas-microsoft-com:office:smarttags" w:element="PlaceName">
          <w:r>
            <w:rPr>
              <w:color w:val="000000"/>
            </w:rPr>
            <w:t>Bradley</w:t>
          </w:r>
        </w:smartTag>
        <w:r>
          <w:rPr>
            <w:color w:val="000000"/>
          </w:rPr>
          <w:t xml:space="preserve"> </w:t>
        </w:r>
        <w:smartTag w:uri="urn:schemas-microsoft-com:office:smarttags" w:element="PlaceName">
          <w:r>
            <w:rPr>
              <w:color w:val="000000"/>
            </w:rPr>
            <w:t>International</w:t>
          </w:r>
        </w:smartTag>
        <w:r>
          <w:rPr>
            <w:color w:val="000000"/>
          </w:rPr>
          <w:t xml:space="preserve"> </w:t>
        </w:r>
        <w:smartTag w:uri="urn:schemas-microsoft-com:office:smarttags" w:element="PlaceType">
          <w:r>
            <w:rPr>
              <w:color w:val="000000"/>
            </w:rPr>
            <w:t>Airport</w:t>
          </w:r>
        </w:smartTag>
      </w:smartTag>
      <w:r>
        <w:rPr>
          <w:color w:val="000000"/>
        </w:rPr>
        <w:t xml:space="preserve"> and therefore a lot of industries have links with it. For example Windsor Locks, the home of the airport, serves as a major northeastern distribution center. It is home of several regional companies, such as </w:t>
      </w:r>
      <w:r w:rsidRPr="00E72147">
        <w:rPr>
          <w:i/>
          <w:color w:val="000000"/>
        </w:rPr>
        <w:t>American Honda</w:t>
      </w:r>
      <w:r>
        <w:rPr>
          <w:color w:val="000000"/>
        </w:rPr>
        <w:t xml:space="preserve">, </w:t>
      </w:r>
      <w:r w:rsidRPr="00E72147">
        <w:rPr>
          <w:i/>
          <w:color w:val="000000"/>
        </w:rPr>
        <w:t>Federal Express</w:t>
      </w:r>
      <w:r>
        <w:rPr>
          <w:color w:val="000000"/>
        </w:rPr>
        <w:t xml:space="preserve">, and </w:t>
      </w:r>
      <w:r w:rsidRPr="00E72147">
        <w:rPr>
          <w:i/>
          <w:color w:val="000000"/>
        </w:rPr>
        <w:t>UPS</w:t>
      </w:r>
      <w:r>
        <w:rPr>
          <w:color w:val="000000"/>
        </w:rPr>
        <w:t xml:space="preserve"> facilities. Also located there are aerospace products (Hamilton Sundstrand) and many paper goods (Ahlstrom-Dexter, LLC). </w:t>
      </w:r>
    </w:p>
    <w:p w:rsidR="00FE4C37" w:rsidRDefault="00FE4C37" w:rsidP="008D231C">
      <w:pPr>
        <w:rPr>
          <w:color w:val="000000"/>
        </w:rPr>
      </w:pPr>
      <w:r>
        <w:rPr>
          <w:color w:val="000000"/>
        </w:rPr>
        <w:t>The city of Enfield is best known for housing the U.S. headquarters of Lego –the Danish plastic building toy – and Hallmark Cards. Both companies have created a lot of employment opportun</w:t>
      </w:r>
      <w:r w:rsidR="008D231C">
        <w:rPr>
          <w:color w:val="000000"/>
        </w:rPr>
        <w:t>ities. However, while the Lego C</w:t>
      </w:r>
      <w:r>
        <w:rPr>
          <w:color w:val="000000"/>
        </w:rPr>
        <w:t xml:space="preserve">ompany is the biggest employer in this town, it announced in June 2006 </w:t>
      </w:r>
      <w:r w:rsidR="008D231C">
        <w:rPr>
          <w:color w:val="000000"/>
        </w:rPr>
        <w:t xml:space="preserve">it was </w:t>
      </w:r>
      <w:r>
        <w:rPr>
          <w:color w:val="000000"/>
        </w:rPr>
        <w:t xml:space="preserve">to begin outsourcing jobs in Mexico. This meant that over 290 employees will be laid off. Enfield has several stimulus projects. One of them is a transport project. The basic of this project is the repair of a bridge on Rt. 5 in </w:t>
      </w:r>
      <w:smartTag w:uri="urn:schemas-microsoft-com:office:smarttags" w:element="City">
        <w:smartTag w:uri="urn:schemas-microsoft-com:office:smarttags" w:element="place">
          <w:r>
            <w:rPr>
              <w:color w:val="000000"/>
            </w:rPr>
            <w:t>Enfield</w:t>
          </w:r>
        </w:smartTag>
      </w:smartTag>
      <w:r>
        <w:rPr>
          <w:color w:val="000000"/>
        </w:rPr>
        <w:t xml:space="preserve">. While this project </w:t>
      </w:r>
      <w:r w:rsidR="00267F46">
        <w:rPr>
          <w:color w:val="000000"/>
        </w:rPr>
        <w:t>has been planned for a</w:t>
      </w:r>
      <w:r>
        <w:rPr>
          <w:color w:val="000000"/>
        </w:rPr>
        <w:t xml:space="preserve"> long time, stimulus money wasn’t being given until late June 2009. Because of this postponement, Enfield, </w:t>
      </w:r>
      <w:r w:rsidR="008D231C">
        <w:rPr>
          <w:color w:val="000000"/>
        </w:rPr>
        <w:t>like</w:t>
      </w:r>
      <w:r>
        <w:rPr>
          <w:color w:val="000000"/>
        </w:rPr>
        <w:t xml:space="preserve"> the rest of Connecticut, saw a lot of losses in the construction sector. Another project that </w:t>
      </w:r>
      <w:r w:rsidR="008D231C">
        <w:rPr>
          <w:color w:val="000000"/>
        </w:rPr>
        <w:t xml:space="preserve">seems likely to receive funding </w:t>
      </w:r>
      <w:r>
        <w:rPr>
          <w:color w:val="000000"/>
        </w:rPr>
        <w:t xml:space="preserve">is the building of a transit center. </w:t>
      </w:r>
      <w:smartTag w:uri="urn:schemas-microsoft-com:office:smarttags" w:element="City">
        <w:smartTag w:uri="urn:schemas-microsoft-com:office:smarttags" w:element="place">
          <w:r>
            <w:rPr>
              <w:color w:val="000000"/>
            </w:rPr>
            <w:t>Enfield</w:t>
          </w:r>
        </w:smartTag>
      </w:smartTag>
      <w:r>
        <w:rPr>
          <w:color w:val="000000"/>
        </w:rPr>
        <w:t xml:space="preserve"> will receive about $1 million to fund phase one of this project. This will create not only employment for the construction of this center</w:t>
      </w:r>
      <w:r w:rsidR="008D231C">
        <w:rPr>
          <w:color w:val="000000"/>
        </w:rPr>
        <w:t>;</w:t>
      </w:r>
      <w:r>
        <w:rPr>
          <w:color w:val="000000"/>
        </w:rPr>
        <w:t xml:space="preserve"> it should also lead to more employment when the transit center is done. </w:t>
      </w:r>
    </w:p>
    <w:p w:rsidR="00FE4C37" w:rsidRDefault="00FE4C37" w:rsidP="008D231C">
      <w:pPr>
        <w:rPr>
          <w:color w:val="000000"/>
        </w:rPr>
      </w:pPr>
      <w:r>
        <w:rPr>
          <w:color w:val="000000"/>
        </w:rPr>
        <w:t xml:space="preserve">Enfield’s median household income in 2007 was </w:t>
      </w:r>
      <w:r w:rsidRPr="00A219DB">
        <w:rPr>
          <w:color w:val="000000"/>
        </w:rPr>
        <w:t>$63,568</w:t>
      </w:r>
      <w:r>
        <w:rPr>
          <w:color w:val="000000"/>
        </w:rPr>
        <w:t xml:space="preserve">. This income is being earned by females in the industries of </w:t>
      </w:r>
      <w:r w:rsidRPr="00A219DB">
        <w:rPr>
          <w:color w:val="000000"/>
        </w:rPr>
        <w:t>Health care (15%)</w:t>
      </w:r>
      <w:r>
        <w:rPr>
          <w:color w:val="000000"/>
        </w:rPr>
        <w:t xml:space="preserve">, </w:t>
      </w:r>
      <w:r w:rsidRPr="00A219DB">
        <w:rPr>
          <w:color w:val="000000"/>
        </w:rPr>
        <w:t>Finance and insurance (14%)</w:t>
      </w:r>
      <w:r>
        <w:rPr>
          <w:color w:val="000000"/>
        </w:rPr>
        <w:t xml:space="preserve">, and </w:t>
      </w:r>
      <w:r w:rsidRPr="00A219DB">
        <w:rPr>
          <w:color w:val="000000"/>
        </w:rPr>
        <w:t>Educational services (11%)</w:t>
      </w:r>
      <w:r>
        <w:rPr>
          <w:color w:val="000000"/>
        </w:rPr>
        <w:t xml:space="preserve">. While for males the most common industries are </w:t>
      </w:r>
      <w:r w:rsidRPr="00A219DB">
        <w:rPr>
          <w:color w:val="000000"/>
        </w:rPr>
        <w:t>Construction (9%)</w:t>
      </w:r>
      <w:r>
        <w:rPr>
          <w:color w:val="000000"/>
        </w:rPr>
        <w:t xml:space="preserve">, Finance and insurance (8%), and Transportation equipment (7%). </w:t>
      </w:r>
    </w:p>
    <w:p w:rsidR="00FE4C37" w:rsidRPr="00502C25" w:rsidRDefault="00FE4C37" w:rsidP="00EF53F9">
      <w:r w:rsidRPr="00502C25">
        <w:rPr>
          <w:rFonts w:cs="Arial"/>
          <w:szCs w:val="26"/>
        </w:rPr>
        <w:t>Waterbury is a</w:t>
      </w:r>
      <w:r w:rsidR="00267F46">
        <w:rPr>
          <w:rFonts w:cs="Arial"/>
          <w:szCs w:val="26"/>
        </w:rPr>
        <w:t>n older manufacturing</w:t>
      </w:r>
      <w:r w:rsidRPr="00502C25">
        <w:rPr>
          <w:rFonts w:cs="Arial"/>
          <w:szCs w:val="26"/>
        </w:rPr>
        <w:t xml:space="preserve"> city</w:t>
      </w:r>
      <w:r>
        <w:rPr>
          <w:rFonts w:cs="Arial"/>
          <w:szCs w:val="26"/>
        </w:rPr>
        <w:t>,</w:t>
      </w:r>
      <w:r w:rsidRPr="00502C25">
        <w:rPr>
          <w:rFonts w:cs="Arial"/>
          <w:szCs w:val="26"/>
        </w:rPr>
        <w:t xml:space="preserve"> with a population of 103,651</w:t>
      </w:r>
      <w:r>
        <w:rPr>
          <w:rFonts w:cs="Arial"/>
          <w:szCs w:val="26"/>
        </w:rPr>
        <w:t xml:space="preserve"> people,</w:t>
      </w:r>
      <w:r w:rsidRPr="00502C25">
        <w:rPr>
          <w:rFonts w:cs="Arial"/>
          <w:szCs w:val="26"/>
        </w:rPr>
        <w:t xml:space="preserve"> located in central Connecticut.  It has the highest unemployment rate, 11.2 percent, out of </w:t>
      </w:r>
      <w:smartTag w:uri="urn:schemas-microsoft-com:office:smarttags" w:element="State">
        <w:smartTag w:uri="urn:schemas-microsoft-com:office:smarttags" w:element="place">
          <w:r w:rsidRPr="00502C25">
            <w:rPr>
              <w:rFonts w:cs="Arial"/>
              <w:szCs w:val="26"/>
            </w:rPr>
            <w:t>Connecticut</w:t>
          </w:r>
        </w:smartTag>
      </w:smartTag>
      <w:r w:rsidRPr="00502C25">
        <w:rPr>
          <w:rFonts w:cs="Arial"/>
          <w:szCs w:val="26"/>
        </w:rPr>
        <w:t xml:space="preserve">’s nine labor market areas.  It has </w:t>
      </w:r>
      <w:r w:rsidRPr="00502C25">
        <w:rPr>
          <w:rFonts w:cs="Arial"/>
          <w:bCs/>
          <w:szCs w:val="30"/>
        </w:rPr>
        <w:t xml:space="preserve">92,079 </w:t>
      </w:r>
      <w:r>
        <w:rPr>
          <w:rFonts w:cs="Arial"/>
          <w:bCs/>
          <w:szCs w:val="30"/>
        </w:rPr>
        <w:t xml:space="preserve">employed </w:t>
      </w:r>
      <w:r w:rsidRPr="00502C25">
        <w:rPr>
          <w:rFonts w:cs="Arial"/>
          <w:bCs/>
          <w:szCs w:val="30"/>
        </w:rPr>
        <w:t>citizens.</w:t>
      </w:r>
      <w:r>
        <w:rPr>
          <w:rFonts w:cs="Arial"/>
          <w:b/>
          <w:bCs/>
          <w:szCs w:val="30"/>
        </w:rPr>
        <w:t xml:space="preserve"> </w:t>
      </w:r>
      <w:r w:rsidRPr="00502C25">
        <w:t>Waterbury is mainly a manufacturing city, be</w:t>
      </w:r>
      <w:r>
        <w:t>st k</w:t>
      </w:r>
      <w:r w:rsidR="00EF53F9">
        <w:t>n</w:t>
      </w:r>
      <w:r>
        <w:t xml:space="preserve">own for </w:t>
      </w:r>
      <w:r w:rsidR="00267F46">
        <w:t xml:space="preserve">its past specialization in </w:t>
      </w:r>
      <w:r>
        <w:t>brassware. However, t</w:t>
      </w:r>
      <w:r w:rsidRPr="00502C25">
        <w:t xml:space="preserve">he city is trying to </w:t>
      </w:r>
      <w:r w:rsidR="00EF53F9">
        <w:t xml:space="preserve">diversify </w:t>
      </w:r>
      <w:r w:rsidRPr="00502C25">
        <w:t>it</w:t>
      </w:r>
      <w:r>
        <w:t xml:space="preserve">s industrial and service bases. </w:t>
      </w:r>
      <w:r w:rsidRPr="00502C25">
        <w:t xml:space="preserve">Businesses that include chemical research and banking are moving to </w:t>
      </w:r>
      <w:smartTag w:uri="urn:schemas-microsoft-com:office:smarttags" w:element="City">
        <w:smartTag w:uri="urn:schemas-microsoft-com:office:smarttags" w:element="place">
          <w:r w:rsidRPr="00502C25">
            <w:t>Waterbury</w:t>
          </w:r>
        </w:smartTag>
      </w:smartTag>
      <w:r w:rsidRPr="00502C25">
        <w:t>.</w:t>
      </w:r>
    </w:p>
    <w:p w:rsidR="00FE4C37" w:rsidRPr="00502C25" w:rsidRDefault="00FE4C37" w:rsidP="00EF53F9">
      <w:pPr>
        <w:widowControl w:val="0"/>
        <w:autoSpaceDE w:val="0"/>
        <w:autoSpaceDN w:val="0"/>
        <w:adjustRightInd w:val="0"/>
        <w:rPr>
          <w:rFonts w:cs="Arial"/>
          <w:szCs w:val="32"/>
        </w:rPr>
      </w:pPr>
      <w:r w:rsidRPr="00502C25">
        <w:t>Waterbury’s median household income is</w:t>
      </w:r>
      <w:r w:rsidR="00267F46">
        <w:t>$</w:t>
      </w:r>
      <w:r w:rsidRPr="00502C25">
        <w:t xml:space="preserve"> </w:t>
      </w:r>
      <w:r w:rsidR="00B64EA3">
        <w:rPr>
          <w:rFonts w:cs="Arial"/>
          <w:szCs w:val="32"/>
        </w:rPr>
        <w:t>39,957</w:t>
      </w:r>
      <w:r>
        <w:rPr>
          <w:rFonts w:cs="Arial"/>
          <w:szCs w:val="32"/>
        </w:rPr>
        <w:t xml:space="preserve">, </w:t>
      </w:r>
      <w:r w:rsidRPr="00502C25">
        <w:rPr>
          <w:rFonts w:cs="Arial"/>
          <w:szCs w:val="32"/>
        </w:rPr>
        <w:t>while the average for the state of Connecticut</w:t>
      </w:r>
      <w:r>
        <w:rPr>
          <w:rFonts w:cs="Arial"/>
          <w:szCs w:val="32"/>
        </w:rPr>
        <w:t xml:space="preserve"> is </w:t>
      </w:r>
      <w:r w:rsidR="00B64EA3">
        <w:rPr>
          <w:rFonts w:cs="Arial"/>
          <w:szCs w:val="32"/>
        </w:rPr>
        <w:t>$</w:t>
      </w:r>
      <w:r>
        <w:rPr>
          <w:rFonts w:cs="Arial"/>
          <w:szCs w:val="32"/>
        </w:rPr>
        <w:t xml:space="preserve">65,967. </w:t>
      </w:r>
      <w:r w:rsidRPr="00502C25">
        <w:rPr>
          <w:rFonts w:cs="Arial"/>
          <w:szCs w:val="32"/>
        </w:rPr>
        <w:t>The most common jobs</w:t>
      </w:r>
      <w:r>
        <w:rPr>
          <w:rFonts w:cs="Arial"/>
          <w:szCs w:val="32"/>
        </w:rPr>
        <w:t xml:space="preserve"> for males</w:t>
      </w:r>
      <w:r w:rsidRPr="00502C25">
        <w:rPr>
          <w:rFonts w:cs="Arial"/>
          <w:szCs w:val="32"/>
        </w:rPr>
        <w:t xml:space="preserve"> in the city are</w:t>
      </w:r>
      <w:r>
        <w:rPr>
          <w:rFonts w:cs="Arial"/>
          <w:szCs w:val="32"/>
        </w:rPr>
        <w:t xml:space="preserve"> in metal and plastic works as well as in </w:t>
      </w:r>
      <w:r w:rsidRPr="00502C25">
        <w:rPr>
          <w:rFonts w:cs="Arial"/>
          <w:szCs w:val="32"/>
        </w:rPr>
        <w:t xml:space="preserve">other production industries. The least common jobs for males in </w:t>
      </w:r>
      <w:smartTag w:uri="urn:schemas-microsoft-com:office:smarttags" w:element="City">
        <w:smartTag w:uri="urn:schemas-microsoft-com:office:smarttags" w:element="place">
          <w:r w:rsidRPr="00502C25">
            <w:rPr>
              <w:rFonts w:cs="Arial"/>
              <w:szCs w:val="32"/>
            </w:rPr>
            <w:t>Waterbury</w:t>
          </w:r>
        </w:smartTag>
      </w:smartTag>
      <w:r w:rsidRPr="00502C25">
        <w:rPr>
          <w:rFonts w:cs="Arial"/>
          <w:szCs w:val="32"/>
        </w:rPr>
        <w:t xml:space="preserve"> a</w:t>
      </w:r>
      <w:r>
        <w:rPr>
          <w:rFonts w:cs="Arial"/>
          <w:szCs w:val="32"/>
        </w:rPr>
        <w:t xml:space="preserve">re in sales and truck drivers. </w:t>
      </w:r>
      <w:r w:rsidRPr="00502C25">
        <w:rPr>
          <w:rFonts w:cs="Arial"/>
          <w:szCs w:val="32"/>
        </w:rPr>
        <w:t>The most abundant jobs for women in the city are in nursing, psychiat</w:t>
      </w:r>
      <w:r>
        <w:rPr>
          <w:rFonts w:cs="Arial"/>
          <w:szCs w:val="32"/>
        </w:rPr>
        <w:t>ric, and home health services.</w:t>
      </w:r>
    </w:p>
    <w:p w:rsidR="00FE4C37" w:rsidRDefault="00FE4C37" w:rsidP="00EF53F9">
      <w:pPr>
        <w:widowControl w:val="0"/>
        <w:autoSpaceDE w:val="0"/>
        <w:autoSpaceDN w:val="0"/>
        <w:adjustRightInd w:val="0"/>
        <w:rPr>
          <w:rFonts w:cs="Arial"/>
          <w:szCs w:val="26"/>
        </w:rPr>
      </w:pPr>
      <w:r w:rsidRPr="00502C25">
        <w:rPr>
          <w:rFonts w:cs="Arial"/>
          <w:szCs w:val="26"/>
        </w:rPr>
        <w:t xml:space="preserve">The labor market area of Connecticut’s most populated city, Bridgeport, has an unemployment rate of eight percent as of October 2009 and </w:t>
      </w:r>
      <w:r w:rsidRPr="00502C25">
        <w:rPr>
          <w:rFonts w:cs="Arial"/>
          <w:bCs/>
          <w:szCs w:val="30"/>
        </w:rPr>
        <w:t>442,076</w:t>
      </w:r>
      <w:r w:rsidRPr="00502C25">
        <w:rPr>
          <w:rFonts w:cs="Arial"/>
          <w:szCs w:val="26"/>
        </w:rPr>
        <w:t xml:space="preserve"> people are employed</w:t>
      </w:r>
      <w:r>
        <w:rPr>
          <w:rFonts w:cs="Arial"/>
          <w:szCs w:val="26"/>
        </w:rPr>
        <w:t xml:space="preserve"> </w:t>
      </w:r>
      <w:r w:rsidR="00B64EA3">
        <w:rPr>
          <w:rFonts w:cs="Arial"/>
          <w:szCs w:val="26"/>
        </w:rPr>
        <w:t>in the LMA</w:t>
      </w:r>
      <w:r>
        <w:rPr>
          <w:rFonts w:cs="Arial"/>
          <w:szCs w:val="26"/>
        </w:rPr>
        <w:t xml:space="preserve">. </w:t>
      </w:r>
      <w:r w:rsidRPr="00502C25">
        <w:rPr>
          <w:rFonts w:cs="Arial"/>
          <w:szCs w:val="26"/>
        </w:rPr>
        <w:t xml:space="preserve">Bridgeport was </w:t>
      </w:r>
      <w:r w:rsidR="00E84A2C">
        <w:rPr>
          <w:rFonts w:cs="Arial"/>
          <w:szCs w:val="26"/>
        </w:rPr>
        <w:t xml:space="preserve">until recently a </w:t>
      </w:r>
      <w:r w:rsidRPr="00502C25">
        <w:rPr>
          <w:rFonts w:cs="Arial"/>
          <w:szCs w:val="26"/>
        </w:rPr>
        <w:t>predom</w:t>
      </w:r>
      <w:r w:rsidR="00EF53F9">
        <w:rPr>
          <w:rFonts w:cs="Arial"/>
          <w:szCs w:val="26"/>
        </w:rPr>
        <w:t>inately manufacturing city. I</w:t>
      </w:r>
      <w:r>
        <w:rPr>
          <w:rFonts w:cs="Arial"/>
          <w:szCs w:val="26"/>
        </w:rPr>
        <w:t>ndustries in the city have begun</w:t>
      </w:r>
      <w:r w:rsidR="00EF53F9">
        <w:rPr>
          <w:rFonts w:cs="Arial"/>
          <w:szCs w:val="26"/>
        </w:rPr>
        <w:t>, however,</w:t>
      </w:r>
      <w:r>
        <w:rPr>
          <w:rFonts w:cs="Arial"/>
          <w:szCs w:val="26"/>
        </w:rPr>
        <w:t xml:space="preserve"> to shift </w:t>
      </w:r>
      <w:r w:rsidRPr="00502C25">
        <w:rPr>
          <w:rFonts w:cs="Arial"/>
          <w:szCs w:val="26"/>
        </w:rPr>
        <w:t>with the curren</w:t>
      </w:r>
      <w:r>
        <w:rPr>
          <w:rFonts w:cs="Arial"/>
          <w:szCs w:val="26"/>
        </w:rPr>
        <w:t>t economic state of our country.</w:t>
      </w:r>
      <w:r w:rsidRPr="00502C25">
        <w:rPr>
          <w:rFonts w:cs="Arial"/>
          <w:szCs w:val="26"/>
        </w:rPr>
        <w:t xml:space="preserve"> Bridgeport is now implementing new projects on brown</w:t>
      </w:r>
      <w:r w:rsidR="00EF53F9">
        <w:rPr>
          <w:rFonts w:cs="Arial"/>
          <w:szCs w:val="26"/>
        </w:rPr>
        <w:t>-</w:t>
      </w:r>
      <w:r w:rsidRPr="00502C25">
        <w:rPr>
          <w:rFonts w:cs="Arial"/>
          <w:szCs w:val="26"/>
        </w:rPr>
        <w:t xml:space="preserve"> fields and </w:t>
      </w:r>
      <w:r>
        <w:rPr>
          <w:rFonts w:cs="Arial"/>
          <w:szCs w:val="26"/>
        </w:rPr>
        <w:t xml:space="preserve">in </w:t>
      </w:r>
      <w:r w:rsidRPr="00502C25">
        <w:rPr>
          <w:rFonts w:cs="Arial"/>
          <w:szCs w:val="26"/>
        </w:rPr>
        <w:t>service indu</w:t>
      </w:r>
      <w:r>
        <w:rPr>
          <w:rFonts w:cs="Arial"/>
          <w:szCs w:val="26"/>
        </w:rPr>
        <w:t xml:space="preserve">stries to increase employment. </w:t>
      </w:r>
      <w:r w:rsidRPr="00E72147">
        <w:rPr>
          <w:rFonts w:cs="Arial"/>
          <w:i/>
          <w:szCs w:val="26"/>
        </w:rPr>
        <w:t>Harbor Yard</w:t>
      </w:r>
      <w:r w:rsidRPr="00502C25">
        <w:rPr>
          <w:rFonts w:cs="Arial"/>
          <w:szCs w:val="26"/>
        </w:rPr>
        <w:t xml:space="preserve"> has acted as a growth pole and </w:t>
      </w:r>
      <w:r>
        <w:rPr>
          <w:rFonts w:cs="Arial"/>
          <w:szCs w:val="26"/>
        </w:rPr>
        <w:t>employs</w:t>
      </w:r>
      <w:r w:rsidRPr="00502C25">
        <w:rPr>
          <w:rFonts w:cs="Arial"/>
          <w:szCs w:val="26"/>
        </w:rPr>
        <w:t xml:space="preserve"> </w:t>
      </w:r>
      <w:smartTag w:uri="urn:schemas-microsoft-com:office:smarttags" w:element="place">
        <w:smartTag w:uri="urn:schemas-microsoft-com:office:smarttags" w:element="City">
          <w:r w:rsidRPr="00502C25">
            <w:rPr>
              <w:rFonts w:cs="Arial"/>
              <w:szCs w:val="26"/>
            </w:rPr>
            <w:t>Bridgeport</w:t>
          </w:r>
        </w:smartTag>
      </w:smartTag>
      <w:r w:rsidRPr="00502C25">
        <w:rPr>
          <w:rFonts w:cs="Arial"/>
          <w:szCs w:val="26"/>
        </w:rPr>
        <w:t xml:space="preserve"> </w:t>
      </w:r>
      <w:r>
        <w:rPr>
          <w:rFonts w:cs="Arial"/>
          <w:szCs w:val="26"/>
        </w:rPr>
        <w:t>citizens. H</w:t>
      </w:r>
      <w:r w:rsidRPr="00502C25">
        <w:rPr>
          <w:rFonts w:cs="Arial"/>
          <w:szCs w:val="26"/>
        </w:rPr>
        <w:t xml:space="preserve">ealth and financial services have </w:t>
      </w:r>
      <w:r>
        <w:rPr>
          <w:rFonts w:cs="Arial"/>
          <w:szCs w:val="26"/>
        </w:rPr>
        <w:t xml:space="preserve">also </w:t>
      </w:r>
      <w:r w:rsidRPr="00502C25">
        <w:rPr>
          <w:rFonts w:cs="Arial"/>
          <w:szCs w:val="26"/>
        </w:rPr>
        <w:t>sprouted i</w:t>
      </w:r>
      <w:r>
        <w:rPr>
          <w:rFonts w:cs="Arial"/>
          <w:szCs w:val="26"/>
        </w:rPr>
        <w:t xml:space="preserve">n the city to help </w:t>
      </w:r>
      <w:r>
        <w:rPr>
          <w:rFonts w:cs="Arial"/>
          <w:szCs w:val="26"/>
        </w:rPr>
        <w:lastRenderedPageBreak/>
        <w:t xml:space="preserve">employment. </w:t>
      </w:r>
      <w:r w:rsidRPr="00502C25">
        <w:rPr>
          <w:rFonts w:cs="Arial"/>
          <w:szCs w:val="26"/>
        </w:rPr>
        <w:t xml:space="preserve">Bridgeport </w:t>
      </w:r>
      <w:r w:rsidR="00EF53F9">
        <w:rPr>
          <w:rFonts w:cs="Arial"/>
          <w:szCs w:val="26"/>
        </w:rPr>
        <w:t xml:space="preserve">has </w:t>
      </w:r>
      <w:r w:rsidRPr="00502C25">
        <w:rPr>
          <w:rFonts w:cs="Arial"/>
          <w:szCs w:val="26"/>
        </w:rPr>
        <w:t>a deep-</w:t>
      </w:r>
      <w:r w:rsidR="00EF53F9">
        <w:rPr>
          <w:rFonts w:cs="Arial"/>
          <w:szCs w:val="26"/>
        </w:rPr>
        <w:t>water</w:t>
      </w:r>
      <w:r w:rsidRPr="00502C25">
        <w:rPr>
          <w:rFonts w:cs="Arial"/>
          <w:szCs w:val="26"/>
        </w:rPr>
        <w:t xml:space="preserve"> port and near many major transportation hubs, </w:t>
      </w:r>
      <w:r>
        <w:rPr>
          <w:rFonts w:cs="Arial"/>
          <w:szCs w:val="26"/>
        </w:rPr>
        <w:t>therefore</w:t>
      </w:r>
      <w:r w:rsidRPr="00502C25">
        <w:rPr>
          <w:rFonts w:cs="Arial"/>
          <w:szCs w:val="26"/>
        </w:rPr>
        <w:t xml:space="preserve"> wholesale and other trades benefit at this location.</w:t>
      </w:r>
    </w:p>
    <w:p w:rsidR="00FE4C37" w:rsidRPr="00502C25" w:rsidRDefault="00FE4C37" w:rsidP="00EF53F9">
      <w:pPr>
        <w:widowControl w:val="0"/>
        <w:autoSpaceDE w:val="0"/>
        <w:autoSpaceDN w:val="0"/>
        <w:adjustRightInd w:val="0"/>
        <w:rPr>
          <w:rFonts w:cs="Arial"/>
          <w:szCs w:val="26"/>
        </w:rPr>
      </w:pPr>
      <w:r w:rsidRPr="00502C25">
        <w:rPr>
          <w:rFonts w:cs="Arial"/>
          <w:szCs w:val="26"/>
        </w:rPr>
        <w:t xml:space="preserve">Bridgeport’s largest employer is </w:t>
      </w:r>
      <w:r>
        <w:rPr>
          <w:rFonts w:cs="Arial"/>
          <w:szCs w:val="26"/>
        </w:rPr>
        <w:t xml:space="preserve">the </w:t>
      </w:r>
      <w:r w:rsidRPr="00502C25">
        <w:rPr>
          <w:rFonts w:cs="Arial"/>
          <w:i/>
          <w:szCs w:val="26"/>
        </w:rPr>
        <w:t>People’s Bank</w:t>
      </w:r>
      <w:r>
        <w:rPr>
          <w:rFonts w:cs="Arial"/>
          <w:szCs w:val="26"/>
        </w:rPr>
        <w:t xml:space="preserve"> with over 3,000 employees. </w:t>
      </w:r>
      <w:r w:rsidRPr="00502C25">
        <w:rPr>
          <w:rFonts w:cs="Arial"/>
          <w:szCs w:val="26"/>
        </w:rPr>
        <w:t xml:space="preserve">The average household income </w:t>
      </w:r>
      <w:r>
        <w:rPr>
          <w:rFonts w:cs="Arial"/>
          <w:szCs w:val="26"/>
        </w:rPr>
        <w:t xml:space="preserve">in Bridgeport is about </w:t>
      </w:r>
      <w:r w:rsidR="00AB67FD">
        <w:rPr>
          <w:rFonts w:cs="Arial"/>
          <w:szCs w:val="26"/>
        </w:rPr>
        <w:t>$</w:t>
      </w:r>
      <w:r>
        <w:rPr>
          <w:rFonts w:cs="Arial"/>
          <w:szCs w:val="26"/>
        </w:rPr>
        <w:t>44,216.</w:t>
      </w:r>
      <w:r w:rsidR="00EF53F9">
        <w:rPr>
          <w:rFonts w:cs="Arial"/>
          <w:szCs w:val="26"/>
        </w:rPr>
        <w:t xml:space="preserve"> </w:t>
      </w:r>
      <w:r w:rsidRPr="00502C25">
        <w:rPr>
          <w:rFonts w:cs="Arial"/>
          <w:szCs w:val="26"/>
        </w:rPr>
        <w:t xml:space="preserve">The most common jobs for males are </w:t>
      </w:r>
      <w:r w:rsidRPr="00502C25">
        <w:rPr>
          <w:rFonts w:cs="Arial"/>
          <w:szCs w:val="32"/>
        </w:rPr>
        <w:t>building and grounds cleaning and maintenance occupations</w:t>
      </w:r>
      <w:r w:rsidRPr="00502C25">
        <w:rPr>
          <w:rFonts w:cs="Arial"/>
          <w:szCs w:val="26"/>
        </w:rPr>
        <w:t>, and the least commo</w:t>
      </w:r>
      <w:r>
        <w:rPr>
          <w:rFonts w:cs="Arial"/>
          <w:szCs w:val="26"/>
        </w:rPr>
        <w:t xml:space="preserve">n jobs for males are in sales. </w:t>
      </w:r>
      <w:r w:rsidRPr="00502C25">
        <w:rPr>
          <w:rFonts w:cs="Arial"/>
          <w:szCs w:val="26"/>
        </w:rPr>
        <w:t xml:space="preserve">The most popular jobs for woman in </w:t>
      </w:r>
      <w:smartTag w:uri="urn:schemas-microsoft-com:office:smarttags" w:element="City">
        <w:r w:rsidRPr="00502C25">
          <w:rPr>
            <w:rFonts w:cs="Arial"/>
            <w:szCs w:val="26"/>
          </w:rPr>
          <w:t>Bridgeport</w:t>
        </w:r>
      </w:smartTag>
      <w:r w:rsidRPr="00502C25">
        <w:rPr>
          <w:rFonts w:cs="Arial"/>
          <w:szCs w:val="26"/>
        </w:rPr>
        <w:t xml:space="preserve"> are the same as those in</w:t>
      </w:r>
      <w:r>
        <w:rPr>
          <w:rFonts w:cs="Arial"/>
          <w:szCs w:val="26"/>
        </w:rPr>
        <w:t xml:space="preserve"> </w:t>
      </w:r>
      <w:smartTag w:uri="urn:schemas-microsoft-com:office:smarttags" w:element="City">
        <w:smartTag w:uri="urn:schemas-microsoft-com:office:smarttags" w:element="place">
          <w:r>
            <w:rPr>
              <w:rFonts w:cs="Arial"/>
              <w:szCs w:val="26"/>
            </w:rPr>
            <w:t>Waterbury</w:t>
          </w:r>
        </w:smartTag>
      </w:smartTag>
      <w:r>
        <w:rPr>
          <w:rFonts w:cs="Arial"/>
          <w:szCs w:val="26"/>
        </w:rPr>
        <w:t xml:space="preserve">, and are </w:t>
      </w:r>
      <w:r w:rsidRPr="00502C25">
        <w:rPr>
          <w:rFonts w:cs="Arial"/>
          <w:szCs w:val="26"/>
        </w:rPr>
        <w:t>in health servi</w:t>
      </w:r>
      <w:r>
        <w:rPr>
          <w:rFonts w:cs="Arial"/>
          <w:szCs w:val="26"/>
        </w:rPr>
        <w:t xml:space="preserve">ces, nursing, and psychiatric. </w:t>
      </w:r>
      <w:r w:rsidRPr="00502C25">
        <w:rPr>
          <w:rFonts w:cs="Arial"/>
          <w:szCs w:val="26"/>
        </w:rPr>
        <w:t>The least abundant jobs for woman are in customer service representatives.</w:t>
      </w:r>
    </w:p>
    <w:p w:rsidR="00FE4C37" w:rsidRPr="00502C25" w:rsidRDefault="002A2570" w:rsidP="00EF53F9">
      <w:pPr>
        <w:widowControl w:val="0"/>
        <w:autoSpaceDE w:val="0"/>
        <w:autoSpaceDN w:val="0"/>
        <w:adjustRightInd w:val="0"/>
        <w:rPr>
          <w:rFonts w:cs="Arial"/>
          <w:szCs w:val="26"/>
        </w:rPr>
      </w:pPr>
      <w:r>
        <w:rPr>
          <w:rFonts w:cs="Arial"/>
          <w:szCs w:val="26"/>
        </w:rPr>
        <w:t xml:space="preserve">The </w:t>
      </w:r>
      <w:r w:rsidR="00FE4C37" w:rsidRPr="00502C25">
        <w:rPr>
          <w:rFonts w:cs="Arial"/>
          <w:szCs w:val="26"/>
        </w:rPr>
        <w:t>Danbury</w:t>
      </w:r>
      <w:r>
        <w:rPr>
          <w:rFonts w:cs="Arial"/>
          <w:szCs w:val="26"/>
        </w:rPr>
        <w:t xml:space="preserve"> LMA</w:t>
      </w:r>
      <w:r w:rsidR="00FE4C37" w:rsidRPr="00502C25">
        <w:rPr>
          <w:rFonts w:cs="Arial"/>
          <w:szCs w:val="26"/>
        </w:rPr>
        <w:t xml:space="preserve"> has an unemployment rate of 7.3 percent and </w:t>
      </w:r>
      <w:r w:rsidR="00FE4C37" w:rsidRPr="00502C25">
        <w:rPr>
          <w:rFonts w:cs="Arial"/>
          <w:bCs/>
          <w:szCs w:val="30"/>
        </w:rPr>
        <w:t>85,727</w:t>
      </w:r>
      <w:r w:rsidR="00AB67FD">
        <w:rPr>
          <w:rFonts w:cs="Arial"/>
          <w:bCs/>
          <w:szCs w:val="30"/>
        </w:rPr>
        <w:t xml:space="preserve"> </w:t>
      </w:r>
      <w:r w:rsidR="00FE4C37" w:rsidRPr="00502C25">
        <w:rPr>
          <w:rFonts w:cs="Arial"/>
          <w:bCs/>
          <w:szCs w:val="30"/>
        </w:rPr>
        <w:t>citizens employed</w:t>
      </w:r>
      <w:r w:rsidR="00FE4C37">
        <w:rPr>
          <w:rFonts w:cs="Arial"/>
          <w:bCs/>
          <w:szCs w:val="30"/>
        </w:rPr>
        <w:t xml:space="preserve"> within the city</w:t>
      </w:r>
      <w:r w:rsidR="00FE4C37">
        <w:rPr>
          <w:rFonts w:cs="Arial"/>
          <w:szCs w:val="26"/>
        </w:rPr>
        <w:t xml:space="preserve">. </w:t>
      </w:r>
      <w:r w:rsidR="00FE4C37" w:rsidRPr="00502C25">
        <w:rPr>
          <w:rFonts w:cs="Arial"/>
          <w:szCs w:val="26"/>
        </w:rPr>
        <w:t>The average household incom</w:t>
      </w:r>
      <w:r w:rsidR="00FE4C37">
        <w:rPr>
          <w:rFonts w:cs="Arial"/>
          <w:szCs w:val="26"/>
        </w:rPr>
        <w:t xml:space="preserve">e in Danbury is </w:t>
      </w:r>
      <w:r w:rsidR="00AB67FD">
        <w:rPr>
          <w:rFonts w:cs="Arial"/>
          <w:szCs w:val="26"/>
        </w:rPr>
        <w:t>$</w:t>
      </w:r>
      <w:r w:rsidR="00FE4C37">
        <w:rPr>
          <w:rFonts w:cs="Arial"/>
          <w:szCs w:val="26"/>
        </w:rPr>
        <w:t xml:space="preserve">59,346. </w:t>
      </w:r>
      <w:r w:rsidR="00FE4C37" w:rsidRPr="00502C25">
        <w:rPr>
          <w:rFonts w:cs="Arial"/>
          <w:szCs w:val="26"/>
        </w:rPr>
        <w:t xml:space="preserve">The three main industries in </w:t>
      </w:r>
      <w:smartTag w:uri="urn:schemas-microsoft-com:office:smarttags" w:element="City">
        <w:smartTag w:uri="urn:schemas-microsoft-com:office:smarttags" w:element="place">
          <w:r w:rsidR="00FE4C37" w:rsidRPr="00502C25">
            <w:rPr>
              <w:rFonts w:cs="Arial"/>
              <w:szCs w:val="26"/>
            </w:rPr>
            <w:t>Danbury</w:t>
          </w:r>
        </w:smartTag>
      </w:smartTag>
      <w:r w:rsidR="00FE4C37" w:rsidRPr="00502C25">
        <w:rPr>
          <w:rFonts w:cs="Arial"/>
          <w:szCs w:val="26"/>
        </w:rPr>
        <w:t xml:space="preserve"> are man</w:t>
      </w:r>
      <w:r w:rsidR="00FE4C37">
        <w:rPr>
          <w:rFonts w:cs="Arial"/>
          <w:szCs w:val="26"/>
        </w:rPr>
        <w:t xml:space="preserve">ufacturing, retail, and trade. </w:t>
      </w:r>
      <w:r w:rsidR="00FE4C37" w:rsidRPr="00502C25">
        <w:rPr>
          <w:rFonts w:cs="Arial"/>
          <w:szCs w:val="26"/>
        </w:rPr>
        <w:t xml:space="preserve">The </w:t>
      </w:r>
      <w:r w:rsidR="00FE4C37" w:rsidRPr="00502C25">
        <w:rPr>
          <w:rFonts w:cs="Arial"/>
          <w:i/>
          <w:szCs w:val="26"/>
        </w:rPr>
        <w:t>Danbury</w:t>
      </w:r>
      <w:r w:rsidR="00FE4C37" w:rsidRPr="00502C25">
        <w:rPr>
          <w:rFonts w:cs="Arial"/>
          <w:szCs w:val="26"/>
        </w:rPr>
        <w:t xml:space="preserve"> </w:t>
      </w:r>
      <w:r w:rsidR="00FE4C37" w:rsidRPr="00502C25">
        <w:rPr>
          <w:rFonts w:cs="Arial"/>
          <w:i/>
          <w:szCs w:val="26"/>
        </w:rPr>
        <w:t>Fair</w:t>
      </w:r>
      <w:r w:rsidR="00FE4C37" w:rsidRPr="00502C25">
        <w:rPr>
          <w:rFonts w:cs="Arial"/>
          <w:szCs w:val="26"/>
        </w:rPr>
        <w:t xml:space="preserve"> </w:t>
      </w:r>
      <w:r w:rsidR="00FE4C37" w:rsidRPr="00502C25">
        <w:rPr>
          <w:rFonts w:cs="Arial"/>
          <w:i/>
          <w:szCs w:val="26"/>
        </w:rPr>
        <w:t>Mall</w:t>
      </w:r>
      <w:r w:rsidR="00FE4C37" w:rsidRPr="00502C25">
        <w:rPr>
          <w:rFonts w:cs="Arial"/>
          <w:szCs w:val="26"/>
        </w:rPr>
        <w:t xml:space="preserve"> supplies much of this area’s economic growth, and the retail industry supplies many jobs to the </w:t>
      </w:r>
      <w:smartTag w:uri="urn:schemas-microsoft-com:office:smarttags" w:element="City">
        <w:smartTag w:uri="urn:schemas-microsoft-com:office:smarttags" w:element="place">
          <w:r w:rsidR="00FE4C37" w:rsidRPr="00502C25">
            <w:rPr>
              <w:rFonts w:cs="Arial"/>
              <w:szCs w:val="26"/>
            </w:rPr>
            <w:t>Danbury</w:t>
          </w:r>
        </w:smartTag>
      </w:smartTag>
      <w:r w:rsidR="00FE4C37">
        <w:rPr>
          <w:rFonts w:cs="Arial"/>
          <w:szCs w:val="26"/>
        </w:rPr>
        <w:t xml:space="preserve"> area. </w:t>
      </w:r>
      <w:r w:rsidR="00FE4C37" w:rsidRPr="00502C25">
        <w:rPr>
          <w:rFonts w:cs="Arial"/>
          <w:szCs w:val="26"/>
        </w:rPr>
        <w:t>The area also is a hub for many other services, including insurance</w:t>
      </w:r>
      <w:r w:rsidR="00FE4C37">
        <w:rPr>
          <w:rFonts w:cs="Arial"/>
          <w:szCs w:val="26"/>
        </w:rPr>
        <w:t>, banking, law, and government.</w:t>
      </w:r>
    </w:p>
    <w:p w:rsidR="00FE4C37" w:rsidRDefault="00FE4C37" w:rsidP="00FE4C37">
      <w:pPr>
        <w:widowControl w:val="0"/>
        <w:autoSpaceDE w:val="0"/>
        <w:autoSpaceDN w:val="0"/>
        <w:adjustRightInd w:val="0"/>
        <w:rPr>
          <w:rFonts w:cs="Arial"/>
          <w:szCs w:val="26"/>
        </w:rPr>
      </w:pPr>
      <w:r w:rsidRPr="00502C25">
        <w:rPr>
          <w:rFonts w:cs="Arial"/>
          <w:szCs w:val="26"/>
        </w:rPr>
        <w:t xml:space="preserve">The largest employers for this labor market area are the </w:t>
      </w:r>
      <w:r w:rsidRPr="00E72147">
        <w:rPr>
          <w:rFonts w:cs="Arial"/>
          <w:i/>
          <w:szCs w:val="26"/>
        </w:rPr>
        <w:t>Danbury Hospital</w:t>
      </w:r>
      <w:r w:rsidRPr="00502C25">
        <w:rPr>
          <w:rFonts w:cs="Arial"/>
          <w:szCs w:val="26"/>
        </w:rPr>
        <w:t xml:space="preserve"> with 3,000 employees and </w:t>
      </w:r>
      <w:r w:rsidRPr="00E72147">
        <w:rPr>
          <w:rFonts w:cs="Arial"/>
          <w:i/>
          <w:szCs w:val="26"/>
        </w:rPr>
        <w:t>Cendant Mobility</w:t>
      </w:r>
      <w:r>
        <w:rPr>
          <w:rFonts w:cs="Arial"/>
          <w:szCs w:val="26"/>
        </w:rPr>
        <w:t xml:space="preserve"> with 2,200 employees. </w:t>
      </w:r>
      <w:r w:rsidRPr="00502C25">
        <w:rPr>
          <w:rFonts w:cs="Arial"/>
          <w:szCs w:val="26"/>
        </w:rPr>
        <w:t xml:space="preserve">The most common job for males are in </w:t>
      </w:r>
      <w:r w:rsidRPr="00502C25">
        <w:rPr>
          <w:rFonts w:cs="Arial"/>
          <w:szCs w:val="32"/>
        </w:rPr>
        <w:t>Building and grounds cleaning and maintenance occupations</w:t>
      </w:r>
      <w:r w:rsidRPr="00502C25">
        <w:rPr>
          <w:rFonts w:cs="Arial"/>
          <w:szCs w:val="26"/>
        </w:rPr>
        <w:t xml:space="preserve">, like in </w:t>
      </w:r>
      <w:smartTag w:uri="urn:schemas-microsoft-com:office:smarttags" w:element="City">
        <w:smartTag w:uri="urn:schemas-microsoft-com:office:smarttags" w:element="place">
          <w:r w:rsidRPr="00502C25">
            <w:rPr>
              <w:rFonts w:cs="Arial"/>
              <w:szCs w:val="26"/>
            </w:rPr>
            <w:t>Bridgeport</w:t>
          </w:r>
        </w:smartTag>
      </w:smartTag>
      <w:r w:rsidRPr="00502C25">
        <w:rPr>
          <w:rFonts w:cs="Arial"/>
          <w:szCs w:val="26"/>
        </w:rPr>
        <w:t>, and the least common jobs for mal</w:t>
      </w:r>
      <w:r>
        <w:rPr>
          <w:rFonts w:cs="Arial"/>
          <w:szCs w:val="26"/>
        </w:rPr>
        <w:t xml:space="preserve">es are in the retail industry. </w:t>
      </w:r>
      <w:r w:rsidRPr="00502C25">
        <w:rPr>
          <w:rFonts w:cs="Arial"/>
          <w:szCs w:val="26"/>
        </w:rPr>
        <w:t xml:space="preserve">The most abundant jobs for woman in </w:t>
      </w:r>
      <w:smartTag w:uri="urn:schemas-microsoft-com:office:smarttags" w:element="place">
        <w:smartTag w:uri="urn:schemas-microsoft-com:office:smarttags" w:element="City">
          <w:r w:rsidRPr="00502C25">
            <w:rPr>
              <w:rFonts w:cs="Arial"/>
              <w:szCs w:val="26"/>
            </w:rPr>
            <w:t>Danbury</w:t>
          </w:r>
        </w:smartTag>
      </w:smartTag>
      <w:r w:rsidRPr="00502C25">
        <w:rPr>
          <w:rFonts w:cs="Arial"/>
          <w:szCs w:val="26"/>
        </w:rPr>
        <w:t xml:space="preserve"> are in secretaries and administrative work, and the least common jobs for woman are </w:t>
      </w:r>
      <w:r>
        <w:rPr>
          <w:rFonts w:cs="Arial"/>
          <w:szCs w:val="26"/>
        </w:rPr>
        <w:t>as registered nurses.</w:t>
      </w:r>
    </w:p>
    <w:p w:rsidR="00FE4C37" w:rsidRDefault="00FE4C37" w:rsidP="00FE4C37">
      <w:pPr>
        <w:widowControl w:val="0"/>
        <w:autoSpaceDE w:val="0"/>
        <w:autoSpaceDN w:val="0"/>
        <w:adjustRightInd w:val="0"/>
      </w:pPr>
      <w:r>
        <w:t>In the Willimantic-Danielson labor market a</w:t>
      </w:r>
      <w:r w:rsidRPr="008F3663">
        <w:t xml:space="preserve">rea, a 9.3 percent unemployment rate rests between the Connecticut and National averages. Established in the area, the former production facility of the American Thread Company has been repurposed as office space, symbolizing the slow transition from textiles to service. Data from the </w:t>
      </w:r>
      <w:r w:rsidRPr="00E72147">
        <w:rPr>
          <w:i/>
        </w:rPr>
        <w:t>Connecticut Department of Labor</w:t>
      </w:r>
      <w:r w:rsidRPr="008F3663">
        <w:t xml:space="preserve"> indicates that Willimantic is bleeding jobs from the dying manufacturing sector while not recouping the losses in other areas. With 2 of the 5 fastest growing jobs in the state connected to information technology, Willimantic lags behind with only 162 jobs (.004%) belonging to the telecommunications sector. Whereas manufacturing jobs account for only 10% of the state labor force, Willimantic depends on 15% output from localized production. This disparity in economic composition has left the area in a significantly worse position than its geographic counterparts inside the state</w:t>
      </w:r>
      <w:r>
        <w:t>.</w:t>
      </w:r>
    </w:p>
    <w:p w:rsidR="00FE4C37" w:rsidRDefault="00FE4C37" w:rsidP="00FE4C37">
      <w:pPr>
        <w:widowControl w:val="0"/>
        <w:autoSpaceDE w:val="0"/>
        <w:autoSpaceDN w:val="0"/>
        <w:adjustRightInd w:val="0"/>
      </w:pPr>
      <w:r w:rsidRPr="008F3663">
        <w:t xml:space="preserve">The five largest industries in Willimantic-Danielson are Government, Healthcare, Manufacturing, Retail and Food Service. Atypical for the region is a dearth of employment in Educational Services. </w:t>
      </w:r>
      <w:smartTag w:uri="urn:schemas-microsoft-com:office:smarttags" w:element="PlaceName">
        <w:r w:rsidRPr="00E72147">
          <w:rPr>
            <w:i/>
          </w:rPr>
          <w:t>Eastern</w:t>
        </w:r>
      </w:smartTag>
      <w:r w:rsidRPr="00E72147">
        <w:rPr>
          <w:i/>
        </w:rPr>
        <w:t xml:space="preserve"> </w:t>
      </w:r>
      <w:smartTag w:uri="urn:schemas-microsoft-com:office:smarttags" w:element="PlaceName">
        <w:r w:rsidRPr="00E72147">
          <w:rPr>
            <w:i/>
          </w:rPr>
          <w:t>Connecticut</w:t>
        </w:r>
      </w:smartTag>
      <w:r w:rsidRPr="00E72147">
        <w:rPr>
          <w:i/>
        </w:rPr>
        <w:t xml:space="preserve"> </w:t>
      </w:r>
      <w:smartTag w:uri="urn:schemas-microsoft-com:office:smarttags" w:element="PlaceType">
        <w:r w:rsidRPr="00E72147">
          <w:rPr>
            <w:i/>
          </w:rPr>
          <w:t>State</w:t>
        </w:r>
      </w:smartTag>
      <w:r w:rsidRPr="00E72147">
        <w:rPr>
          <w:i/>
        </w:rPr>
        <w:t xml:space="preserve"> </w:t>
      </w:r>
      <w:smartTag w:uri="urn:schemas-microsoft-com:office:smarttags" w:element="PlaceType">
        <w:r w:rsidRPr="00E72147">
          <w:rPr>
            <w:i/>
          </w:rPr>
          <w:t>University</w:t>
        </w:r>
      </w:smartTag>
      <w:r w:rsidRPr="008F3663">
        <w:t xml:space="preserve"> – Willimantic’s largest school – employs only four employees for every hundred employed by </w:t>
      </w:r>
      <w:r w:rsidRPr="00E72147">
        <w:rPr>
          <w:i/>
        </w:rPr>
        <w:t>UConn</w:t>
      </w:r>
      <w:r w:rsidRPr="008F3663">
        <w:t>, the state’s flagship school a</w:t>
      </w:r>
      <w:r>
        <w:t xml:space="preserve">nd a product of the </w:t>
      </w:r>
      <w:smartTag w:uri="urn:schemas-microsoft-com:office:smarttags" w:element="place">
        <w:smartTag w:uri="urn:schemas-microsoft-com:office:smarttags" w:element="City">
          <w:r>
            <w:t>Hartford</w:t>
          </w:r>
        </w:smartTag>
      </w:smartTag>
      <w:r>
        <w:t xml:space="preserve"> labor market area</w:t>
      </w:r>
      <w:r w:rsidRPr="008F3663">
        <w:t xml:space="preserve"> . Of its five largest sectors, Healthcare is closest to booming. State projections have the Heath Services industry expanding by 11% through the year 2016. Government</w:t>
      </w:r>
      <w:r w:rsidR="002A2570">
        <w:t xml:space="preserve"> employment</w:t>
      </w:r>
      <w:r w:rsidRPr="008F3663">
        <w:t xml:space="preserve"> is projected</w:t>
      </w:r>
      <w:r w:rsidR="002A2570">
        <w:t xml:space="preserve"> to be </w:t>
      </w:r>
      <w:r w:rsidRPr="008F3663">
        <w:t>static, while retail (5%) and food service (10%) are expected to see more modest gains in employment. Manufacturing</w:t>
      </w:r>
      <w:r w:rsidR="00AB67FD">
        <w:t xml:space="preserve"> </w:t>
      </w:r>
      <w:r w:rsidRPr="008F3663">
        <w:t xml:space="preserve">will experience job contraction just southward of four percent through 2016. Ultimately, Willimantic’s future will depend firstly on a realignment of top industries to better fit the modern economic </w:t>
      </w:r>
      <w:r w:rsidR="002A2570">
        <w:t>landscape</w:t>
      </w:r>
      <w:r>
        <w:t>.</w:t>
      </w:r>
    </w:p>
    <w:p w:rsidR="00FE4C37" w:rsidRDefault="00FE4C37" w:rsidP="00FE4C37">
      <w:pPr>
        <w:widowControl w:val="0"/>
        <w:autoSpaceDE w:val="0"/>
        <w:autoSpaceDN w:val="0"/>
        <w:adjustRightInd w:val="0"/>
      </w:pPr>
      <w:r w:rsidRPr="008F3663">
        <w:t xml:space="preserve">In the Connecticut portion of the Norwich-New London </w:t>
      </w:r>
      <w:r>
        <w:t>labor market a</w:t>
      </w:r>
      <w:r w:rsidRPr="008F3663">
        <w:t>rea, unemployment</w:t>
      </w:r>
      <w:r>
        <w:t xml:space="preserve"> is relatively </w:t>
      </w:r>
      <w:r>
        <w:lastRenderedPageBreak/>
        <w:t>low at 7.8</w:t>
      </w:r>
      <w:r w:rsidRPr="008F3663">
        <w:t xml:space="preserve">%. The strong showing in the </w:t>
      </w:r>
      <w:smartTag w:uri="urn:schemas-microsoft-com:office:smarttags" w:element="place">
        <w:smartTag w:uri="urn:schemas-microsoft-com:office:smarttags" w:element="City">
          <w:r w:rsidRPr="008F3663">
            <w:t>Norwich</w:t>
          </w:r>
        </w:smartTag>
      </w:smartTag>
      <w:r w:rsidRPr="008F3663">
        <w:t xml:space="preserve"> area is supported by the presence of the United States Military and the </w:t>
      </w:r>
      <w:r w:rsidRPr="000A122C">
        <w:rPr>
          <w:i/>
        </w:rPr>
        <w:t>Mohegan Sun</w:t>
      </w:r>
      <w:r w:rsidRPr="008F3663">
        <w:t xml:space="preserve"> and </w:t>
      </w:r>
      <w:r w:rsidRPr="000A122C">
        <w:rPr>
          <w:i/>
        </w:rPr>
        <w:t>Foxwoods</w:t>
      </w:r>
      <w:r w:rsidRPr="008F3663">
        <w:t xml:space="preserve"> casinos, which employ approximately 40,000 people collectively and contribute substantial spillover effects to the area. Non-farm employment has contracted by 3.3% in this region over the past year. According to data from the Labor Department, employees in the leisure and accommodation sector are earning average quarterly wages below $5,000 – indicating a lower quality of life for what amounts to a large employment base. In 2007, </w:t>
      </w:r>
      <w:r w:rsidRPr="000A122C">
        <w:rPr>
          <w:i/>
        </w:rPr>
        <w:t>Foxwoods</w:t>
      </w:r>
      <w:r w:rsidRPr="008F3663">
        <w:t>’ table dealers voted 60-40 in favor of unionization, thus earning collective bargaining rights for over 3,000 workers. Foxwoods responded in late 2008 by firing 700 of these workers before an agreement could be reached. Casino activity remains strong, in spite of declining numbers. Tourism revenues dropped 8 percent from fiscal year ’08 to ’09, inducing a concurrent drop in state slot remittances. By law, both casinos are mandated to turn over 25% of slot revenues to the state.</w:t>
      </w:r>
    </w:p>
    <w:p w:rsidR="00FE4C37" w:rsidRDefault="00FE4C37" w:rsidP="00FE4C37">
      <w:r w:rsidRPr="008F3663">
        <w:t>Consistent with other parts of the state, Norwich-New London’s 20,100 jobs in education and health services have grown by one percent over the last year. Federal jobs in the area have grown by 3.7%, while state and local municipalities have trimmed down by 5.5%. States, required by law to have a balanced budget, are never granted the same fiscal latitude as their federal counterparts.</w:t>
      </w:r>
    </w:p>
    <w:p w:rsidR="00FE4C37" w:rsidRPr="008F3663" w:rsidRDefault="00FE4C37" w:rsidP="00FE4C37">
      <w:r w:rsidRPr="008F3663">
        <w:t xml:space="preserve">   </w:t>
      </w:r>
    </w:p>
    <w:p w:rsidR="00831B46" w:rsidRDefault="00FE4C37" w:rsidP="00FE4C37">
      <w:r>
        <w:rPr>
          <w:noProof/>
        </w:rPr>
        <w:drawing>
          <wp:inline distT="0" distB="0" distL="0" distR="0">
            <wp:extent cx="5253355" cy="3284220"/>
            <wp:effectExtent l="19050" t="0" r="4445" b="0"/>
            <wp:docPr id="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253355" cy="3284220"/>
                    </a:xfrm>
                    <a:prstGeom prst="rect">
                      <a:avLst/>
                    </a:prstGeom>
                    <a:noFill/>
                    <a:ln w="9525">
                      <a:noFill/>
                      <a:miter lim="800000"/>
                      <a:headEnd/>
                      <a:tailEnd/>
                    </a:ln>
                  </pic:spPr>
                </pic:pic>
              </a:graphicData>
            </a:graphic>
          </wp:inline>
        </w:drawing>
      </w:r>
      <w:r>
        <w:t xml:space="preserve">        </w:t>
      </w:r>
    </w:p>
    <w:p w:rsidR="00FE4C37" w:rsidRPr="008F3663" w:rsidRDefault="00FE4C37" w:rsidP="00FE4C37">
      <w:pPr>
        <w:rPr>
          <w:sz w:val="20"/>
          <w:szCs w:val="20"/>
        </w:rPr>
      </w:pPr>
      <w:r>
        <w:t xml:space="preserve">  </w:t>
      </w:r>
      <w:r w:rsidRPr="008F3663">
        <w:rPr>
          <w:i/>
          <w:sz w:val="20"/>
          <w:szCs w:val="20"/>
        </w:rPr>
        <w:t>Graph Contrasting Goods and Leisure Trends in Norwich-New London</w:t>
      </w:r>
    </w:p>
    <w:p w:rsidR="00FE4C37" w:rsidRDefault="00FE4C37" w:rsidP="00FE4C37"/>
    <w:p w:rsidR="00FE4C37" w:rsidRPr="008F3663" w:rsidRDefault="00FE4C37" w:rsidP="00831B46">
      <w:r w:rsidRPr="008F3663">
        <w:t xml:space="preserve">Perhaps the most important economic force in the area is not casino gaming, but national defense. Home to both the </w:t>
      </w:r>
      <w:r w:rsidRPr="000A122C">
        <w:rPr>
          <w:i/>
        </w:rPr>
        <w:t>Groton Submarine Base</w:t>
      </w:r>
      <w:r w:rsidRPr="008F3663">
        <w:t xml:space="preserve"> and </w:t>
      </w:r>
      <w:r w:rsidRPr="000A122C">
        <w:rPr>
          <w:i/>
        </w:rPr>
        <w:t>United States</w:t>
      </w:r>
      <w:r w:rsidRPr="008F3663">
        <w:t xml:space="preserve"> </w:t>
      </w:r>
      <w:smartTag w:uri="urn:schemas-microsoft-com:office:smarttags" w:element="PlaceType">
        <w:r w:rsidRPr="000A122C">
          <w:rPr>
            <w:i/>
          </w:rPr>
          <w:t>Coast</w:t>
        </w:r>
      </w:smartTag>
      <w:r w:rsidRPr="000A122C">
        <w:rPr>
          <w:i/>
        </w:rPr>
        <w:t xml:space="preserve"> </w:t>
      </w:r>
      <w:smartTag w:uri="urn:schemas-microsoft-com:office:smarttags" w:element="PlaceName">
        <w:r w:rsidRPr="000A122C">
          <w:rPr>
            <w:i/>
          </w:rPr>
          <w:t>Guard</w:t>
        </w:r>
      </w:smartTag>
      <w:r w:rsidRPr="000A122C">
        <w:rPr>
          <w:i/>
        </w:rPr>
        <w:t xml:space="preserve"> </w:t>
      </w:r>
      <w:smartTag w:uri="urn:schemas-microsoft-com:office:smarttags" w:element="PlaceType">
        <w:r w:rsidRPr="000A122C">
          <w:rPr>
            <w:i/>
          </w:rPr>
          <w:t>Academy</w:t>
        </w:r>
      </w:smartTag>
      <w:r>
        <w:t xml:space="preserve">, the </w:t>
      </w:r>
      <w:smartTag w:uri="urn:schemas-microsoft-com:office:smarttags" w:element="place">
        <w:smartTag w:uri="urn:schemas-microsoft-com:office:smarttags" w:element="City">
          <w:r>
            <w:t>Norwich</w:t>
          </w:r>
        </w:smartTag>
      </w:smartTag>
      <w:r>
        <w:t xml:space="preserve"> labor market area</w:t>
      </w:r>
      <w:r w:rsidRPr="008F3663">
        <w:t xml:space="preserve"> depends on armed forces employment. Whereas armed forces employment is nearly </w:t>
      </w:r>
      <w:r w:rsidRPr="008F3663">
        <w:lastRenderedPageBreak/>
        <w:t xml:space="preserve">absent from the labor force in most </w:t>
      </w:r>
      <w:smartTag w:uri="urn:schemas-microsoft-com:office:smarttags" w:element="State">
        <w:r w:rsidRPr="008F3663">
          <w:t>Connecticut</w:t>
        </w:r>
      </w:smartTag>
      <w:r w:rsidRPr="008F3663">
        <w:t xml:space="preserve"> towns, it plays a significant role in this area – accounting for about 20% of workers from the town of </w:t>
      </w:r>
      <w:smartTag w:uri="urn:schemas-microsoft-com:office:smarttags" w:element="place">
        <w:smartTag w:uri="urn:schemas-microsoft-com:office:smarttags" w:element="City">
          <w:r w:rsidRPr="008F3663">
            <w:t>Groton</w:t>
          </w:r>
        </w:smartTag>
      </w:smartTag>
      <w:r w:rsidRPr="008F3663">
        <w:t xml:space="preserve">. In terms of impact on employment for residents of Norwich-New London, no development was greater than the 2005 announcement by the U.S. Department of Defense that it would closing the base as part of a national realignment program. Under this initiative, 100% </w:t>
      </w:r>
      <w:r w:rsidR="002A2570">
        <w:t xml:space="preserve">of the drop in employment </w:t>
      </w:r>
      <w:r w:rsidRPr="008F3663">
        <w:t>would be derived f</w:t>
      </w:r>
      <w:r>
        <w:t>rom the state’s southeastern labor market areas</w:t>
      </w:r>
      <w:r w:rsidRPr="008F3663">
        <w:t xml:space="preserve">. Economist Douglas Hall of </w:t>
      </w:r>
      <w:r w:rsidRPr="000A122C">
        <w:rPr>
          <w:i/>
        </w:rPr>
        <w:t xml:space="preserve">UConn </w:t>
      </w:r>
      <w:r w:rsidRPr="008F3663">
        <w:t xml:space="preserve">estimates that the sub base, grouped with employment from the civilian-staffed </w:t>
      </w:r>
      <w:r w:rsidRPr="000A122C">
        <w:rPr>
          <w:i/>
        </w:rPr>
        <w:t>Electric</w:t>
      </w:r>
      <w:r w:rsidRPr="008F3663">
        <w:t xml:space="preserve"> </w:t>
      </w:r>
      <w:r w:rsidRPr="000A122C">
        <w:rPr>
          <w:i/>
        </w:rPr>
        <w:t>Boat Company</w:t>
      </w:r>
      <w:r w:rsidRPr="008F3663">
        <w:t xml:space="preserve">, accounts for $3.3 billion, or 1.8%, of </w:t>
      </w:r>
      <w:smartTag w:uri="urn:schemas-microsoft-com:office:smarttags" w:element="place">
        <w:smartTag w:uri="urn:schemas-microsoft-com:office:smarttags" w:element="State">
          <w:r w:rsidRPr="008F3663">
            <w:t>Connecticut</w:t>
          </w:r>
        </w:smartTag>
      </w:smartTag>
      <w:r>
        <w:t xml:space="preserve">’s Gross State Product. </w:t>
      </w:r>
      <w:r w:rsidRPr="008F3663">
        <w:t xml:space="preserve">The presence of the base cannot be overestimated, as Hall believes it is directly or indirectly responsible for 31,500 jobs inside the state. After lobbying from both CT Governor Jodi Rell and State Representative Rob Simmons, the base was stricken from the closure list in late 2005. The </w:t>
      </w:r>
      <w:r w:rsidRPr="000A122C">
        <w:rPr>
          <w:i/>
        </w:rPr>
        <w:t>U.S. Coast Guard Academy</w:t>
      </w:r>
      <w:r w:rsidRPr="008F3663">
        <w:t>, one of five main military academies in the country, has just under 1000</w:t>
      </w:r>
      <w:r w:rsidR="00831B46">
        <w:t xml:space="preserve"> cadets and 120 faculty members</w:t>
      </w:r>
      <w:r w:rsidRPr="008F3663">
        <w:t>.</w:t>
      </w:r>
      <w:r w:rsidRPr="00061A18">
        <w:rPr>
          <w:rStyle w:val="FootnoteReference"/>
        </w:rPr>
        <w:footnoteReference w:customMarkFollows="1" w:id="2"/>
        <w:sym w:font="Symbol" w:char="F02A"/>
      </w:r>
      <w:r w:rsidRPr="008F3663">
        <w:t xml:space="preserve"> </w:t>
      </w:r>
    </w:p>
    <w:p w:rsidR="00FE4C37" w:rsidRPr="008F3663" w:rsidRDefault="00FE4C37" w:rsidP="00FE4C37">
      <w:r w:rsidRPr="008F3663">
        <w:t>New Haven, Connecticut</w:t>
      </w:r>
      <w:r>
        <w:t xml:space="preserve">’s third largest </w:t>
      </w:r>
      <w:r w:rsidR="00831B46">
        <w:t>LMA</w:t>
      </w:r>
      <w:r w:rsidRPr="008F3663">
        <w:t xml:space="preserve">, has an 8.3% unemployment rate. Non-farm employment has declined by 1.8% over the past year, accompanied by upward shifts in the size of the labor market as wealth erosion occurs amongst discouraged workers. The largest employer in </w:t>
      </w:r>
      <w:smartTag w:uri="urn:schemas-microsoft-com:office:smarttags" w:element="City">
        <w:r w:rsidRPr="008F3663">
          <w:t>New Haven</w:t>
        </w:r>
      </w:smartTag>
      <w:r w:rsidRPr="008F3663">
        <w:t xml:space="preserve"> is unequivocally </w:t>
      </w:r>
      <w:smartTag w:uri="urn:schemas-microsoft-com:office:smarttags" w:element="place">
        <w:smartTag w:uri="urn:schemas-microsoft-com:office:smarttags" w:element="PlaceName">
          <w:smartTag w:uri="urn:schemas-microsoft-com:office:smarttags" w:element="PlaceName">
            <w:r w:rsidRPr="008F3663">
              <w:t>Yale</w:t>
            </w:r>
          </w:smartTag>
          <w:r w:rsidRPr="008F3663">
            <w:t xml:space="preserve"> </w:t>
          </w:r>
          <w:smartTag w:uri="urn:schemas-microsoft-com:office:smarttags" w:element="PlaceType">
            <w:r w:rsidRPr="008F3663">
              <w:t>University</w:t>
            </w:r>
          </w:smartTag>
        </w:smartTag>
      </w:smartTag>
      <w:r w:rsidRPr="008F3663">
        <w:t xml:space="preserve">, including </w:t>
      </w:r>
      <w:r w:rsidRPr="000A122C">
        <w:rPr>
          <w:i/>
        </w:rPr>
        <w:t>Yale-New Haven Psychiatric</w:t>
      </w:r>
      <w:r w:rsidRPr="008F3663">
        <w:t xml:space="preserve"> and </w:t>
      </w:r>
      <w:r w:rsidRPr="000A122C">
        <w:rPr>
          <w:i/>
        </w:rPr>
        <w:t>Yale School of Medicine</w:t>
      </w:r>
      <w:r w:rsidRPr="008F3663">
        <w:t xml:space="preserve">. As a city, </w:t>
      </w:r>
      <w:smartTag w:uri="urn:schemas-microsoft-com:office:smarttags" w:element="place">
        <w:smartTag w:uri="urn:schemas-microsoft-com:office:smarttags" w:element="City">
          <w:r w:rsidRPr="008F3663">
            <w:t>New Haven</w:t>
          </w:r>
        </w:smartTag>
      </w:smartTag>
      <w:r w:rsidRPr="008F3663">
        <w:t xml:space="preserve"> is notable for the amount of wealth that leaves city bounds when the work day is over. Those who work in </w:t>
      </w:r>
      <w:smartTag w:uri="urn:schemas-microsoft-com:office:smarttags" w:element="place">
        <w:smartTag w:uri="urn:schemas-microsoft-com:office:smarttags" w:element="City">
          <w:r w:rsidRPr="008F3663">
            <w:t>New Haven</w:t>
          </w:r>
        </w:smartTag>
      </w:smartTag>
      <w:r w:rsidRPr="008F3663">
        <w:t xml:space="preserve"> are earning an average annual wage of $47,796, versus just $16,393 for those who reside in the historic city. The city itself is also home to </w:t>
      </w:r>
      <w:r w:rsidRPr="00125C01">
        <w:rPr>
          <w:i/>
        </w:rPr>
        <w:t>Southern Connecticut State University</w:t>
      </w:r>
      <w:r w:rsidRPr="008F3663">
        <w:t xml:space="preserve">, a state subsidized college employing over 1,000 people. After education, healthcare and health services is </w:t>
      </w:r>
      <w:smartTag w:uri="urn:schemas-microsoft-com:office:smarttags" w:element="place">
        <w:smartTag w:uri="urn:schemas-microsoft-com:office:smarttags" w:element="City">
          <w:r w:rsidRPr="008F3663">
            <w:t>New Haven</w:t>
          </w:r>
        </w:smartTag>
      </w:smartTag>
      <w:r w:rsidRPr="008F3663">
        <w:t>’s dominant sector. Of the 15 top emplo</w:t>
      </w:r>
      <w:r>
        <w:t>yers in this l</w:t>
      </w:r>
      <w:r w:rsidRPr="008F3663">
        <w:t xml:space="preserve">abor </w:t>
      </w:r>
      <w:r>
        <w:t>m</w:t>
      </w:r>
      <w:r w:rsidRPr="008F3663">
        <w:t xml:space="preserve">arket, 11 are a part of the healthcare industry. Commanding a plurality of </w:t>
      </w:r>
      <w:smartTag w:uri="urn:schemas-microsoft-com:office:smarttags" w:element="place">
        <w:smartTag w:uri="urn:schemas-microsoft-com:office:smarttags" w:element="City">
          <w:r w:rsidRPr="008F3663">
            <w:t>New Haven</w:t>
          </w:r>
        </w:smartTag>
      </w:smartTag>
      <w:r w:rsidRPr="008F3663">
        <w:t xml:space="preserve">’s workers, healthcare is expected to grow over the next half decade and will leave the area in sound fiscal shape. Both the state Department of Veterans Affairs and the state </w:t>
      </w:r>
      <w:smartTag w:uri="urn:schemas-microsoft-com:office:smarttags" w:element="PlaceName">
        <w:r w:rsidRPr="008F3663">
          <w:t>Veterans</w:t>
        </w:r>
      </w:smartTag>
      <w:r w:rsidRPr="008F3663">
        <w:t xml:space="preserve"> </w:t>
      </w:r>
      <w:smartTag w:uri="urn:schemas-microsoft-com:office:smarttags" w:element="PlaceType">
        <w:r w:rsidRPr="008F3663">
          <w:t>Hospital</w:t>
        </w:r>
      </w:smartTag>
      <w:r w:rsidRPr="008F3663">
        <w:t xml:space="preserve"> are located in </w:t>
      </w:r>
      <w:smartTag w:uri="urn:schemas-microsoft-com:office:smarttags" w:element="place">
        <w:smartTag w:uri="urn:schemas-microsoft-com:office:smarttags" w:element="City">
          <w:r w:rsidRPr="008F3663">
            <w:t>West Haven</w:t>
          </w:r>
        </w:smartTag>
      </w:smartTag>
      <w:r w:rsidRPr="008F3663">
        <w:t xml:space="preserve">, providing gross employment over 2,000 to the region. The VA is also part of the 2008 Recovery and Reinvestment Act, meaning dollars earmarked for Veterans will arrive and be processed by the state branch. </w:t>
      </w:r>
    </w:p>
    <w:p w:rsidR="00FE4C37" w:rsidRDefault="00FE4C37" w:rsidP="00FE4C37">
      <w:pPr>
        <w:widowControl w:val="0"/>
        <w:autoSpaceDE w:val="0"/>
        <w:autoSpaceDN w:val="0"/>
        <w:adjustRightInd w:val="0"/>
      </w:pPr>
      <w:r w:rsidRPr="008F3663">
        <w:t xml:space="preserve">According to the </w:t>
      </w:r>
      <w:r w:rsidRPr="000A122C">
        <w:rPr>
          <w:i/>
        </w:rPr>
        <w:t>Connecticut Economic Digest</w:t>
      </w:r>
      <w:r w:rsidRPr="008F3663">
        <w:t>, nearly e</w:t>
      </w:r>
      <w:r>
        <w:t>very sector in the New Haven labor market area</w:t>
      </w:r>
      <w:r w:rsidRPr="008F3663">
        <w:t xml:space="preserve"> has lost jobs from October 2008 to October 2009. Wholesale trade, however, has expanded by 0.8%. A large share of this growth is attributed to </w:t>
      </w:r>
      <w:r w:rsidRPr="000A122C">
        <w:rPr>
          <w:i/>
        </w:rPr>
        <w:t>Bozzutos, Inc</w:t>
      </w:r>
      <w:r w:rsidRPr="008F3663">
        <w:t xml:space="preserve">.; a grocery wholesaler located in </w:t>
      </w:r>
      <w:smartTag w:uri="urn:schemas-microsoft-com:office:smarttags" w:element="place">
        <w:smartTag w:uri="urn:schemas-microsoft-com:office:smarttags" w:element="City">
          <w:r w:rsidRPr="008F3663">
            <w:t>Cheshire</w:t>
          </w:r>
        </w:smartTag>
      </w:smartTag>
      <w:r w:rsidRPr="008F3663">
        <w:t xml:space="preserve">. </w:t>
      </w:r>
      <w:r w:rsidRPr="000A122C">
        <w:rPr>
          <w:i/>
        </w:rPr>
        <w:t xml:space="preserve">Bozzuto’s </w:t>
      </w:r>
      <w:r w:rsidRPr="008F3663">
        <w:t xml:space="preserve">is a full-line grocery distribution company supplying to IGA stores in </w:t>
      </w:r>
      <w:smartTag w:uri="urn:schemas-microsoft-com:office:smarttags" w:element="City">
        <w:r w:rsidRPr="008F3663">
          <w:t>New York</w:t>
        </w:r>
      </w:smartTag>
      <w:r w:rsidRPr="008F3663">
        <w:t xml:space="preserve">, </w:t>
      </w:r>
      <w:smartTag w:uri="urn:schemas-microsoft-com:office:smarttags" w:element="State">
        <w:r w:rsidRPr="008F3663">
          <w:t>New Jersey</w:t>
        </w:r>
      </w:smartTag>
      <w:r w:rsidRPr="008F3663">
        <w:t xml:space="preserve">, </w:t>
      </w:r>
      <w:smartTag w:uri="urn:schemas-microsoft-com:office:smarttags" w:element="State">
        <w:r w:rsidRPr="008F3663">
          <w:t>Pennsylvania</w:t>
        </w:r>
      </w:smartTag>
      <w:r w:rsidRPr="008F3663">
        <w:t xml:space="preserve"> and all of </w:t>
      </w:r>
      <w:smartTag w:uri="urn:schemas-microsoft-com:office:smarttags" w:element="place">
        <w:r w:rsidRPr="008F3663">
          <w:t>New England</w:t>
        </w:r>
      </w:smartTag>
      <w:r w:rsidRPr="008F3663">
        <w:t xml:space="preserve">. Employing over 3,200 in its Chesire production facility, </w:t>
      </w:r>
      <w:r w:rsidRPr="000A122C">
        <w:rPr>
          <w:i/>
        </w:rPr>
        <w:t>Bozzuto’s</w:t>
      </w:r>
      <w:r w:rsidRPr="008F3663">
        <w:t xml:space="preserve"> has recently undertaken efforts to expand into part of a </w:t>
      </w:r>
      <w:smartTag w:uri="urn:schemas-microsoft-com:office:smarttags" w:element="place">
        <w:r w:rsidRPr="008F3663">
          <w:t>North Haven</w:t>
        </w:r>
      </w:smartTag>
      <w:r w:rsidRPr="008F3663">
        <w:t xml:space="preserve"> facility formerly controlled by </w:t>
      </w:r>
      <w:r w:rsidRPr="000A122C">
        <w:rPr>
          <w:i/>
        </w:rPr>
        <w:t>Stop &amp; Shop</w:t>
      </w:r>
      <w:r w:rsidRPr="008F3663">
        <w:t xml:space="preserve">. </w:t>
      </w:r>
      <w:r w:rsidRPr="000A122C">
        <w:rPr>
          <w:i/>
        </w:rPr>
        <w:t>Bozzuto’s</w:t>
      </w:r>
      <w:r w:rsidRPr="008F3663">
        <w:t xml:space="preserve"> is an excellent regional example of a firm that has been able to buck trends by becoming an important central hub – essentially a bridge between the grocery industries on both sides of the </w:t>
      </w:r>
      <w:smartTag w:uri="urn:schemas-microsoft-com:office:smarttags" w:element="place">
        <w:r w:rsidRPr="008F3663">
          <w:t>Northeastern United States</w:t>
        </w:r>
      </w:smartTag>
      <w:r w:rsidRPr="008F3663">
        <w:t>.</w:t>
      </w:r>
    </w:p>
    <w:p w:rsidR="00FE4C37" w:rsidRPr="008F3663" w:rsidRDefault="00FE4C37" w:rsidP="00FE4C37">
      <w:r>
        <w:rPr>
          <w:rFonts w:cs="Arial"/>
          <w:szCs w:val="26"/>
        </w:rPr>
        <w:lastRenderedPageBreak/>
        <w:t xml:space="preserve">Since New Haven’s unemployment rate of 8.3% is in the middle of Connecticut’s other labor market areas, it makes an excellent microcosm of state successes and failures. </w:t>
      </w:r>
      <w:r w:rsidRPr="008F3663">
        <w:t xml:space="preserve">Like the rest of </w:t>
      </w:r>
      <w:smartTag w:uri="urn:schemas-microsoft-com:office:smarttags" w:element="State">
        <w:r w:rsidRPr="008F3663">
          <w:t>Connecticut</w:t>
        </w:r>
      </w:smartTag>
      <w:r w:rsidRPr="008F3663">
        <w:t xml:space="preserve">, </w:t>
      </w:r>
      <w:smartTag w:uri="urn:schemas-microsoft-com:office:smarttags" w:element="City">
        <w:smartTag w:uri="urn:schemas-microsoft-com:office:smarttags" w:element="place">
          <w:r w:rsidRPr="008F3663">
            <w:t>New Haven</w:t>
          </w:r>
        </w:smartTag>
      </w:smartTag>
      <w:r w:rsidRPr="008F3663">
        <w:t xml:space="preserve"> is buoyed by very strong educational and health services sectors. Manufacturing </w:t>
      </w:r>
      <w:r w:rsidR="00831B46">
        <w:t>represents 10.4% of employment in the LMA – a figure that has been declining.</w:t>
      </w:r>
      <w:r w:rsidRPr="008F3663">
        <w:t xml:space="preserve"> </w:t>
      </w:r>
      <w:smartTag w:uri="urn:schemas-microsoft-com:office:smarttags" w:element="City">
        <w:r w:rsidRPr="008F3663">
          <w:t>New Haven</w:t>
        </w:r>
      </w:smartTag>
      <w:r w:rsidRPr="008F3663">
        <w:t xml:space="preserve"> does have linkages to the financial services sector and </w:t>
      </w:r>
      <w:smartTag w:uri="urn:schemas-microsoft-com:office:smarttags" w:element="State">
        <w:smartTag w:uri="urn:schemas-microsoft-com:office:smarttags" w:element="place">
          <w:r w:rsidRPr="008F3663">
            <w:t>New York</w:t>
          </w:r>
        </w:smartTag>
      </w:smartTag>
      <w:r w:rsidRPr="008F3663">
        <w:t xml:space="preserve">, but not to the same extent as Bridgeport/Stamford. </w:t>
      </w:r>
    </w:p>
    <w:p w:rsidR="00FE4C37" w:rsidRDefault="00FE4C37" w:rsidP="00FE4C37">
      <w:pPr>
        <w:widowControl w:val="0"/>
        <w:autoSpaceDE w:val="0"/>
        <w:autoSpaceDN w:val="0"/>
        <w:adjustRightInd w:val="0"/>
        <w:rPr>
          <w:rFonts w:cs="Arial"/>
          <w:szCs w:val="26"/>
        </w:rPr>
      </w:pPr>
      <w:r>
        <w:rPr>
          <w:rFonts w:cs="Arial"/>
          <w:szCs w:val="26"/>
        </w:rPr>
        <w:t xml:space="preserve">As the above stated facts show, Connecticut does suffer from the economic downturn in today’s world. The unemployment rate in </w:t>
      </w:r>
      <w:smartTag w:uri="urn:schemas-microsoft-com:office:smarttags" w:element="State">
        <w:r>
          <w:rPr>
            <w:rFonts w:cs="Arial"/>
            <w:szCs w:val="26"/>
          </w:rPr>
          <w:t>Connecticut</w:t>
        </w:r>
      </w:smartTag>
      <w:r>
        <w:rPr>
          <w:rFonts w:cs="Arial"/>
          <w:szCs w:val="26"/>
        </w:rPr>
        <w:t xml:space="preserve">’s nine labor market areas ranges from the lowest of 7.3% in </w:t>
      </w:r>
      <w:smartTag w:uri="urn:schemas-microsoft-com:office:smarttags" w:element="City">
        <w:r>
          <w:rPr>
            <w:rFonts w:cs="Arial"/>
            <w:szCs w:val="26"/>
          </w:rPr>
          <w:t>Danbury</w:t>
        </w:r>
      </w:smartTag>
      <w:r>
        <w:rPr>
          <w:rFonts w:cs="Arial"/>
          <w:szCs w:val="26"/>
        </w:rPr>
        <w:t xml:space="preserve"> to the highest of 11.2% in </w:t>
      </w:r>
      <w:smartTag w:uri="urn:schemas-microsoft-com:office:smarttags" w:element="place">
        <w:smartTag w:uri="urn:schemas-microsoft-com:office:smarttags" w:element="City">
          <w:r>
            <w:rPr>
              <w:rFonts w:cs="Arial"/>
              <w:szCs w:val="26"/>
            </w:rPr>
            <w:t>Waterbury</w:t>
          </w:r>
        </w:smartTag>
      </w:smartTag>
      <w:r>
        <w:rPr>
          <w:rFonts w:cs="Arial"/>
          <w:szCs w:val="26"/>
        </w:rPr>
        <w:t xml:space="preserve">. However, </w:t>
      </w:r>
      <w:smartTag w:uri="urn:schemas-microsoft-com:office:smarttags" w:element="State">
        <w:smartTag w:uri="urn:schemas-microsoft-com:office:smarttags" w:element="place">
          <w:r>
            <w:rPr>
              <w:rFonts w:cs="Arial"/>
              <w:szCs w:val="26"/>
            </w:rPr>
            <w:t>Connecticut</w:t>
          </w:r>
        </w:smartTag>
      </w:smartTag>
      <w:r>
        <w:rPr>
          <w:rFonts w:cs="Arial"/>
          <w:szCs w:val="26"/>
        </w:rPr>
        <w:t>’s average unemployment rate of 8.8% is still lower the national unemployment rate of 10.2%.</w:t>
      </w:r>
    </w:p>
    <w:p w:rsidR="00FE4C37" w:rsidRDefault="00FE4C37" w:rsidP="00FE4C37">
      <w:pPr>
        <w:widowControl w:val="0"/>
        <w:autoSpaceDE w:val="0"/>
        <w:autoSpaceDN w:val="0"/>
        <w:adjustRightInd w:val="0"/>
        <w:rPr>
          <w:rFonts w:cs="Arial"/>
          <w:szCs w:val="26"/>
        </w:rPr>
      </w:pPr>
      <w:r>
        <w:rPr>
          <w:rFonts w:cs="Arial"/>
          <w:szCs w:val="26"/>
        </w:rPr>
        <w:t xml:space="preserve">The table below sums up the employment of the whole state of Connecticut in the several industries. It shows that </w:t>
      </w:r>
      <w:smartTag w:uri="urn:schemas-microsoft-com:office:smarttags" w:element="State">
        <w:smartTag w:uri="urn:schemas-microsoft-com:office:smarttags" w:element="place">
          <w:r>
            <w:rPr>
              <w:rFonts w:cs="Arial"/>
              <w:szCs w:val="26"/>
            </w:rPr>
            <w:t>Connecticut</w:t>
          </w:r>
        </w:smartTag>
      </w:smartTag>
      <w:r>
        <w:rPr>
          <w:rFonts w:cs="Arial"/>
          <w:szCs w:val="26"/>
        </w:rPr>
        <w:t>’s employment is especially dependent on Educational and Health Services, as described before. Due to the increase in the average age and the plans of the government in the field of health care and health insurance a stable growth may be expected there.</w:t>
      </w:r>
    </w:p>
    <w:p w:rsidR="00FE4C37" w:rsidRDefault="00FE4C37" w:rsidP="00FE4C37">
      <w:pPr>
        <w:widowControl w:val="0"/>
        <w:autoSpaceDE w:val="0"/>
        <w:autoSpaceDN w:val="0"/>
        <w:adjustRightInd w:val="0"/>
        <w:rPr>
          <w:rFonts w:cs="Arial"/>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4428"/>
        <w:gridCol w:w="4428"/>
      </w:tblGrid>
      <w:tr w:rsidR="00FE4C37" w:rsidRPr="00407EDA" w:rsidTr="007D2692">
        <w:tc>
          <w:tcPr>
            <w:tcW w:w="4428" w:type="dxa"/>
          </w:tcPr>
          <w:p w:rsidR="00FE4C37" w:rsidRPr="00407EDA" w:rsidRDefault="00FE4C37" w:rsidP="007D2692">
            <w:pPr>
              <w:rPr>
                <w:b/>
              </w:rPr>
            </w:pPr>
            <w:r w:rsidRPr="00407EDA">
              <w:rPr>
                <w:b/>
              </w:rPr>
              <w:t>Industry</w:t>
            </w:r>
          </w:p>
        </w:tc>
        <w:tc>
          <w:tcPr>
            <w:tcW w:w="4428" w:type="dxa"/>
          </w:tcPr>
          <w:p w:rsidR="00FE4C37" w:rsidRPr="00407EDA" w:rsidRDefault="00FE4C37" w:rsidP="007D2692">
            <w:pPr>
              <w:rPr>
                <w:b/>
              </w:rPr>
            </w:pPr>
            <w:r w:rsidRPr="00407EDA">
              <w:rPr>
                <w:b/>
              </w:rPr>
              <w:t>Employed</w:t>
            </w:r>
          </w:p>
        </w:tc>
      </w:tr>
      <w:tr w:rsidR="00FE4C37" w:rsidRPr="00407EDA" w:rsidTr="007D2692">
        <w:tc>
          <w:tcPr>
            <w:tcW w:w="4428" w:type="dxa"/>
          </w:tcPr>
          <w:p w:rsidR="00FE4C37" w:rsidRPr="00407EDA" w:rsidRDefault="00FE4C37" w:rsidP="007D2692">
            <w:r w:rsidRPr="00407EDA">
              <w:t>Goods Producing Industries</w:t>
            </w:r>
          </w:p>
        </w:tc>
        <w:tc>
          <w:tcPr>
            <w:tcW w:w="4428" w:type="dxa"/>
          </w:tcPr>
          <w:p w:rsidR="00FE4C37" w:rsidRPr="00407EDA" w:rsidRDefault="00FE4C37" w:rsidP="007D2692">
            <w:r w:rsidRPr="00407EDA">
              <w:t>225,900</w:t>
            </w:r>
          </w:p>
        </w:tc>
      </w:tr>
      <w:tr w:rsidR="00FE4C37" w:rsidRPr="00407EDA" w:rsidTr="007D2692">
        <w:tc>
          <w:tcPr>
            <w:tcW w:w="4428" w:type="dxa"/>
          </w:tcPr>
          <w:p w:rsidR="00FE4C37" w:rsidRPr="00407EDA" w:rsidRDefault="00FE4C37" w:rsidP="007D2692">
            <w:r w:rsidRPr="00407EDA">
              <w:t>Construction, Mining</w:t>
            </w:r>
          </w:p>
        </w:tc>
        <w:tc>
          <w:tcPr>
            <w:tcW w:w="4428" w:type="dxa"/>
          </w:tcPr>
          <w:p w:rsidR="00FE4C37" w:rsidRPr="00407EDA" w:rsidRDefault="00FE4C37" w:rsidP="007D2692">
            <w:r w:rsidRPr="00407EDA">
              <w:t>55,200</w:t>
            </w:r>
          </w:p>
        </w:tc>
      </w:tr>
      <w:tr w:rsidR="00FE4C37" w:rsidRPr="00407EDA" w:rsidTr="007D2692">
        <w:tc>
          <w:tcPr>
            <w:tcW w:w="4428" w:type="dxa"/>
          </w:tcPr>
          <w:p w:rsidR="00FE4C37" w:rsidRPr="00407EDA" w:rsidRDefault="00FE4C37" w:rsidP="007D2692">
            <w:r w:rsidRPr="00407EDA">
              <w:t>Manufacturing</w:t>
            </w:r>
          </w:p>
        </w:tc>
        <w:tc>
          <w:tcPr>
            <w:tcW w:w="4428" w:type="dxa"/>
          </w:tcPr>
          <w:p w:rsidR="00FE4C37" w:rsidRPr="00407EDA" w:rsidRDefault="00FE4C37" w:rsidP="007D2692">
            <w:r w:rsidRPr="00407EDA">
              <w:t>170,700</w:t>
            </w:r>
          </w:p>
        </w:tc>
      </w:tr>
      <w:tr w:rsidR="00FE4C37" w:rsidRPr="00407EDA" w:rsidTr="007D2692">
        <w:tc>
          <w:tcPr>
            <w:tcW w:w="4428" w:type="dxa"/>
          </w:tcPr>
          <w:p w:rsidR="00FE4C37" w:rsidRPr="00407EDA" w:rsidRDefault="00FE4C37" w:rsidP="007D2692">
            <w:r w:rsidRPr="00407EDA">
              <w:t>Trade, Transportation, Utilities</w:t>
            </w:r>
          </w:p>
        </w:tc>
        <w:tc>
          <w:tcPr>
            <w:tcW w:w="4428" w:type="dxa"/>
          </w:tcPr>
          <w:p w:rsidR="00FE4C37" w:rsidRPr="00407EDA" w:rsidRDefault="00FE4C37" w:rsidP="007D2692">
            <w:r w:rsidRPr="00407EDA">
              <w:t>292,800</w:t>
            </w:r>
          </w:p>
        </w:tc>
      </w:tr>
      <w:tr w:rsidR="00FE4C37" w:rsidRPr="00407EDA" w:rsidTr="007D2692">
        <w:tc>
          <w:tcPr>
            <w:tcW w:w="4428" w:type="dxa"/>
          </w:tcPr>
          <w:p w:rsidR="00FE4C37" w:rsidRPr="00407EDA" w:rsidRDefault="00FE4C37" w:rsidP="007D2692">
            <w:r w:rsidRPr="00407EDA">
              <w:t>Information</w:t>
            </w:r>
          </w:p>
        </w:tc>
        <w:tc>
          <w:tcPr>
            <w:tcW w:w="4428" w:type="dxa"/>
          </w:tcPr>
          <w:p w:rsidR="00FE4C37" w:rsidRPr="00407EDA" w:rsidRDefault="00FE4C37" w:rsidP="007D2692">
            <w:r w:rsidRPr="00407EDA">
              <w:t>34,500</w:t>
            </w:r>
          </w:p>
        </w:tc>
      </w:tr>
      <w:tr w:rsidR="00FE4C37" w:rsidRPr="00407EDA" w:rsidTr="007D2692">
        <w:tc>
          <w:tcPr>
            <w:tcW w:w="4428" w:type="dxa"/>
          </w:tcPr>
          <w:p w:rsidR="00FE4C37" w:rsidRPr="00407EDA" w:rsidRDefault="00FE4C37" w:rsidP="007D2692">
            <w:r w:rsidRPr="00407EDA">
              <w:t>Financial Activities</w:t>
            </w:r>
          </w:p>
        </w:tc>
        <w:tc>
          <w:tcPr>
            <w:tcW w:w="4428" w:type="dxa"/>
          </w:tcPr>
          <w:p w:rsidR="00FE4C37" w:rsidRPr="00407EDA" w:rsidRDefault="00FE4C37" w:rsidP="007D2692">
            <w:r w:rsidRPr="00407EDA">
              <w:t>137,700</w:t>
            </w:r>
          </w:p>
        </w:tc>
      </w:tr>
      <w:tr w:rsidR="00FE4C37" w:rsidRPr="00407EDA" w:rsidTr="007D2692">
        <w:tc>
          <w:tcPr>
            <w:tcW w:w="4428" w:type="dxa"/>
          </w:tcPr>
          <w:p w:rsidR="00FE4C37" w:rsidRPr="00407EDA" w:rsidRDefault="00FE4C37" w:rsidP="007D2692">
            <w:r w:rsidRPr="00407EDA">
              <w:t>Professional and Business Services</w:t>
            </w:r>
          </w:p>
        </w:tc>
        <w:tc>
          <w:tcPr>
            <w:tcW w:w="4428" w:type="dxa"/>
          </w:tcPr>
          <w:p w:rsidR="00FE4C37" w:rsidRPr="00407EDA" w:rsidRDefault="00FE4C37" w:rsidP="007D2692">
            <w:r w:rsidRPr="00407EDA">
              <w:t>188,900</w:t>
            </w:r>
          </w:p>
        </w:tc>
      </w:tr>
      <w:tr w:rsidR="00FE4C37" w:rsidRPr="00407EDA" w:rsidTr="007D2692">
        <w:tc>
          <w:tcPr>
            <w:tcW w:w="4428" w:type="dxa"/>
          </w:tcPr>
          <w:p w:rsidR="00FE4C37" w:rsidRPr="00407EDA" w:rsidRDefault="00FE4C37" w:rsidP="007D2692">
            <w:r w:rsidRPr="00407EDA">
              <w:t>Educational and Health Services</w:t>
            </w:r>
          </w:p>
        </w:tc>
        <w:tc>
          <w:tcPr>
            <w:tcW w:w="4428" w:type="dxa"/>
          </w:tcPr>
          <w:p w:rsidR="00FE4C37" w:rsidRPr="00407EDA" w:rsidRDefault="00FE4C37" w:rsidP="007D2692">
            <w:r w:rsidRPr="00407EDA">
              <w:t>303,200</w:t>
            </w:r>
          </w:p>
        </w:tc>
      </w:tr>
      <w:tr w:rsidR="00FE4C37" w:rsidRPr="00407EDA" w:rsidTr="007D2692">
        <w:tc>
          <w:tcPr>
            <w:tcW w:w="4428" w:type="dxa"/>
          </w:tcPr>
          <w:p w:rsidR="00FE4C37" w:rsidRPr="00407EDA" w:rsidRDefault="00FE4C37" w:rsidP="007D2692">
            <w:r w:rsidRPr="00407EDA">
              <w:t>Leisure and Hospitality</w:t>
            </w:r>
          </w:p>
        </w:tc>
        <w:tc>
          <w:tcPr>
            <w:tcW w:w="4428" w:type="dxa"/>
          </w:tcPr>
          <w:p w:rsidR="00FE4C37" w:rsidRPr="00407EDA" w:rsidRDefault="00FE4C37" w:rsidP="007D2692">
            <w:r w:rsidRPr="00407EDA">
              <w:t>139,900</w:t>
            </w:r>
          </w:p>
        </w:tc>
      </w:tr>
      <w:tr w:rsidR="00FE4C37" w:rsidRPr="00407EDA" w:rsidTr="007D2692">
        <w:tc>
          <w:tcPr>
            <w:tcW w:w="4428" w:type="dxa"/>
          </w:tcPr>
          <w:p w:rsidR="00FE4C37" w:rsidRPr="00407EDA" w:rsidRDefault="00FE4C37" w:rsidP="007D2692">
            <w:r w:rsidRPr="00407EDA">
              <w:t>Other Services</w:t>
            </w:r>
          </w:p>
        </w:tc>
        <w:tc>
          <w:tcPr>
            <w:tcW w:w="4428" w:type="dxa"/>
          </w:tcPr>
          <w:p w:rsidR="00FE4C37" w:rsidRPr="00407EDA" w:rsidRDefault="00FE4C37" w:rsidP="007D2692">
            <w:r w:rsidRPr="00407EDA">
              <w:t>61,500</w:t>
            </w:r>
          </w:p>
        </w:tc>
      </w:tr>
      <w:tr w:rsidR="00FE4C37" w:rsidRPr="00407EDA" w:rsidTr="007D2692">
        <w:tc>
          <w:tcPr>
            <w:tcW w:w="4428" w:type="dxa"/>
          </w:tcPr>
          <w:p w:rsidR="00FE4C37" w:rsidRPr="00407EDA" w:rsidRDefault="00FE4C37" w:rsidP="007D2692">
            <w:r w:rsidRPr="00407EDA">
              <w:t>Government</w:t>
            </w:r>
          </w:p>
        </w:tc>
        <w:tc>
          <w:tcPr>
            <w:tcW w:w="4428" w:type="dxa"/>
          </w:tcPr>
          <w:p w:rsidR="00FE4C37" w:rsidRPr="00407EDA" w:rsidRDefault="00FE4C37" w:rsidP="007D2692">
            <w:r w:rsidRPr="00407EDA">
              <w:t>251,300</w:t>
            </w:r>
          </w:p>
        </w:tc>
      </w:tr>
    </w:tbl>
    <w:p w:rsidR="00FE4C37" w:rsidRPr="001004D6" w:rsidRDefault="00FE4C37" w:rsidP="00FE4C37">
      <w:pPr>
        <w:rPr>
          <w:sz w:val="20"/>
          <w:szCs w:val="20"/>
        </w:rPr>
      </w:pPr>
      <w:r w:rsidRPr="001004D6">
        <w:rPr>
          <w:i/>
          <w:sz w:val="20"/>
          <w:szCs w:val="20"/>
        </w:rPr>
        <w:t xml:space="preserve">Table </w:t>
      </w:r>
      <w:smartTag w:uri="urn:schemas-microsoft-com:office:smarttags" w:element="place">
        <w:smartTag w:uri="urn:schemas-microsoft-com:office:smarttags" w:element="State">
          <w:r w:rsidRPr="001004D6">
            <w:rPr>
              <w:i/>
              <w:sz w:val="20"/>
              <w:szCs w:val="20"/>
            </w:rPr>
            <w:t>Connecticut</w:t>
          </w:r>
        </w:smartTag>
      </w:smartTag>
      <w:r w:rsidRPr="001004D6">
        <w:rPr>
          <w:i/>
          <w:sz w:val="20"/>
          <w:szCs w:val="20"/>
        </w:rPr>
        <w:t xml:space="preserve"> Employment (as of October 2009)</w:t>
      </w:r>
    </w:p>
    <w:p w:rsidR="00127A99" w:rsidRDefault="00127A99" w:rsidP="00DB1CA6">
      <w:pPr>
        <w:rPr>
          <w:rFonts w:cs="Arial"/>
          <w:b/>
          <w:szCs w:val="26"/>
        </w:rPr>
      </w:pPr>
    </w:p>
    <w:p w:rsidR="00D25889" w:rsidRPr="00DB1CA6" w:rsidRDefault="00DB1CA6" w:rsidP="00DB1CA6">
      <w:pPr>
        <w:rPr>
          <w:rFonts w:ascii="Times New Roman" w:hAnsi="Times New Roman" w:cs="Times New Roman"/>
          <w:b/>
          <w:szCs w:val="26"/>
        </w:rPr>
      </w:pPr>
      <w:r>
        <w:rPr>
          <w:rFonts w:cs="Arial"/>
          <w:b/>
          <w:szCs w:val="26"/>
        </w:rPr>
        <w:t xml:space="preserve">State Initiatives – </w:t>
      </w:r>
      <w:r w:rsidR="00127A99">
        <w:rPr>
          <w:rFonts w:cs="Arial"/>
          <w:b/>
          <w:szCs w:val="26"/>
        </w:rPr>
        <w:t>“</w:t>
      </w:r>
      <w:r>
        <w:rPr>
          <w:rFonts w:cs="Arial"/>
          <w:b/>
          <w:szCs w:val="26"/>
        </w:rPr>
        <w:t>Growth Poles</w:t>
      </w:r>
      <w:r w:rsidR="00127A99">
        <w:rPr>
          <w:rFonts w:cs="Arial"/>
          <w:b/>
          <w:szCs w:val="26"/>
        </w:rPr>
        <w:t>”</w:t>
      </w:r>
    </w:p>
    <w:p w:rsidR="00D25889" w:rsidRPr="001C09E3" w:rsidRDefault="00D25889" w:rsidP="00D25889">
      <w:pPr>
        <w:rPr>
          <w:rFonts w:ascii="Times New Roman" w:hAnsi="Times New Roman" w:cs="Times New Roman"/>
          <w:szCs w:val="26"/>
        </w:rPr>
      </w:pPr>
      <w:r w:rsidRPr="001C09E3">
        <w:rPr>
          <w:rFonts w:ascii="Times New Roman" w:hAnsi="Times New Roman" w:cs="Times New Roman"/>
          <w:szCs w:val="26"/>
        </w:rPr>
        <w:lastRenderedPageBreak/>
        <w:t xml:space="preserve">Growth poles may be defined as large, deliberate investments that aim to cause spillovers into surrounding regions. This type of development </w:t>
      </w:r>
      <w:r w:rsidR="00DB1CA6">
        <w:rPr>
          <w:rFonts w:ascii="Times New Roman" w:hAnsi="Times New Roman" w:cs="Times New Roman"/>
          <w:szCs w:val="26"/>
        </w:rPr>
        <w:t>promotes</w:t>
      </w:r>
      <w:r w:rsidRPr="001C09E3">
        <w:rPr>
          <w:rFonts w:ascii="Times New Roman" w:hAnsi="Times New Roman" w:cs="Times New Roman"/>
          <w:szCs w:val="26"/>
        </w:rPr>
        <w:t xml:space="preserve"> land usage and infrastructure in generating regional growth. Perhaps the most crucial aspect of growth poles </w:t>
      </w:r>
      <w:r w:rsidR="00127A99">
        <w:rPr>
          <w:rFonts w:ascii="Times New Roman" w:hAnsi="Times New Roman" w:cs="Times New Roman"/>
          <w:szCs w:val="26"/>
        </w:rPr>
        <w:t>is</w:t>
      </w:r>
      <w:r w:rsidR="00DB1CA6">
        <w:rPr>
          <w:rFonts w:ascii="Times New Roman" w:hAnsi="Times New Roman" w:cs="Times New Roman"/>
          <w:szCs w:val="26"/>
        </w:rPr>
        <w:t xml:space="preserve"> the</w:t>
      </w:r>
      <w:r w:rsidRPr="001C09E3">
        <w:rPr>
          <w:rFonts w:ascii="Times New Roman" w:hAnsi="Times New Roman" w:cs="Times New Roman"/>
          <w:szCs w:val="26"/>
        </w:rPr>
        <w:t xml:space="preserve"> need for linkages. Interaction between the development and its surrounding areas is essential </w:t>
      </w:r>
      <w:r w:rsidR="00DB1CA6">
        <w:rPr>
          <w:rFonts w:ascii="Times New Roman" w:hAnsi="Times New Roman" w:cs="Times New Roman"/>
          <w:szCs w:val="26"/>
        </w:rPr>
        <w:t>to</w:t>
      </w:r>
      <w:r w:rsidRPr="001C09E3">
        <w:rPr>
          <w:rFonts w:ascii="Times New Roman" w:hAnsi="Times New Roman" w:cs="Times New Roman"/>
          <w:szCs w:val="26"/>
        </w:rPr>
        <w:t xml:space="preserve"> </w:t>
      </w:r>
      <w:r w:rsidR="00DB1CA6">
        <w:rPr>
          <w:rFonts w:ascii="Times New Roman" w:hAnsi="Times New Roman" w:cs="Times New Roman"/>
          <w:szCs w:val="26"/>
        </w:rPr>
        <w:t xml:space="preserve">producing </w:t>
      </w:r>
      <w:r w:rsidRPr="001C09E3">
        <w:rPr>
          <w:rFonts w:ascii="Times New Roman" w:hAnsi="Times New Roman" w:cs="Times New Roman"/>
          <w:szCs w:val="26"/>
        </w:rPr>
        <w:t xml:space="preserve">spillover effects. When implemented properly, growth poles yield a number of benefits, ranging from economic growth to the creation of jobs. Development projects can push back against decline and attract external dollars to </w:t>
      </w:r>
      <w:r w:rsidR="00DB1CA6">
        <w:rPr>
          <w:rFonts w:ascii="Times New Roman" w:hAnsi="Times New Roman" w:cs="Times New Roman"/>
          <w:szCs w:val="26"/>
        </w:rPr>
        <w:t>an urban area.</w:t>
      </w:r>
      <w:r w:rsidRPr="001C09E3">
        <w:rPr>
          <w:rFonts w:ascii="Times New Roman" w:hAnsi="Times New Roman" w:cs="Times New Roman"/>
          <w:szCs w:val="26"/>
        </w:rPr>
        <w:t xml:space="preserve"> Adriaen’s Landing</w:t>
      </w:r>
      <w:r w:rsidR="004455F2">
        <w:rPr>
          <w:rFonts w:ascii="Times New Roman" w:hAnsi="Times New Roman" w:cs="Times New Roman"/>
          <w:szCs w:val="26"/>
        </w:rPr>
        <w:t>, for example,</w:t>
      </w:r>
      <w:r w:rsidRPr="001C09E3">
        <w:rPr>
          <w:rFonts w:ascii="Times New Roman" w:hAnsi="Times New Roman" w:cs="Times New Roman"/>
          <w:szCs w:val="26"/>
        </w:rPr>
        <w:t xml:space="preserve"> was </w:t>
      </w:r>
      <w:r w:rsidR="004455F2">
        <w:rPr>
          <w:rFonts w:ascii="Times New Roman" w:hAnsi="Times New Roman" w:cs="Times New Roman"/>
          <w:szCs w:val="26"/>
        </w:rPr>
        <w:t xml:space="preserve">targeted towards helping </w:t>
      </w:r>
      <w:r w:rsidRPr="001C09E3">
        <w:rPr>
          <w:rFonts w:ascii="Times New Roman" w:hAnsi="Times New Roman" w:cs="Times New Roman"/>
          <w:szCs w:val="26"/>
        </w:rPr>
        <w:t>revitalize the city of Hartford. This development continues to accomplish the ideal goals of a growth pole, increasing economic growth and attracting people to the area.</w:t>
      </w:r>
      <w:r w:rsidR="004455F2">
        <w:rPr>
          <w:rFonts w:ascii="Times New Roman" w:hAnsi="Times New Roman" w:cs="Times New Roman"/>
          <w:szCs w:val="26"/>
        </w:rPr>
        <w:t xml:space="preserve">  Bridgeport’s </w:t>
      </w:r>
      <w:r w:rsidRPr="001C09E3">
        <w:rPr>
          <w:rFonts w:ascii="Times New Roman" w:hAnsi="Times New Roman" w:cs="Times New Roman"/>
          <w:szCs w:val="26"/>
        </w:rPr>
        <w:t>Steel</w:t>
      </w:r>
      <w:r w:rsidR="00127A99">
        <w:rPr>
          <w:rFonts w:ascii="Times New Roman" w:hAnsi="Times New Roman" w:cs="Times New Roman"/>
          <w:szCs w:val="26"/>
        </w:rPr>
        <w:t xml:space="preserve"> P</w:t>
      </w:r>
      <w:r w:rsidRPr="001C09E3">
        <w:rPr>
          <w:rFonts w:ascii="Times New Roman" w:hAnsi="Times New Roman" w:cs="Times New Roman"/>
          <w:szCs w:val="26"/>
        </w:rPr>
        <w:t>oint Harbor is a development project currently in the process of being planned and implemented. Despite its development in the midst of an economic recession, Steel</w:t>
      </w:r>
      <w:r w:rsidR="00127A99">
        <w:rPr>
          <w:rFonts w:ascii="Times New Roman" w:hAnsi="Times New Roman" w:cs="Times New Roman"/>
          <w:szCs w:val="26"/>
        </w:rPr>
        <w:t xml:space="preserve"> P</w:t>
      </w:r>
      <w:r w:rsidRPr="001C09E3">
        <w:rPr>
          <w:rFonts w:ascii="Times New Roman" w:hAnsi="Times New Roman" w:cs="Times New Roman"/>
          <w:szCs w:val="26"/>
        </w:rPr>
        <w:t xml:space="preserve">oint shows great potential for improving </w:t>
      </w:r>
      <w:r w:rsidR="00127A99">
        <w:rPr>
          <w:rFonts w:ascii="Times New Roman" w:hAnsi="Times New Roman" w:cs="Times New Roman"/>
          <w:szCs w:val="26"/>
        </w:rPr>
        <w:t xml:space="preserve">segments of the economy of </w:t>
      </w:r>
      <w:r w:rsidRPr="001C09E3">
        <w:rPr>
          <w:rFonts w:ascii="Times New Roman" w:hAnsi="Times New Roman" w:cs="Times New Roman"/>
          <w:szCs w:val="26"/>
        </w:rPr>
        <w:t xml:space="preserve">the city of Bridgeport and bringing </w:t>
      </w:r>
      <w:r w:rsidR="00127A99">
        <w:rPr>
          <w:rFonts w:ascii="Times New Roman" w:hAnsi="Times New Roman" w:cs="Times New Roman"/>
          <w:szCs w:val="26"/>
        </w:rPr>
        <w:t xml:space="preserve">in </w:t>
      </w:r>
      <w:r w:rsidRPr="001C09E3">
        <w:rPr>
          <w:rFonts w:ascii="Times New Roman" w:hAnsi="Times New Roman" w:cs="Times New Roman"/>
          <w:szCs w:val="26"/>
        </w:rPr>
        <w:t>a</w:t>
      </w:r>
      <w:r w:rsidR="004455F2">
        <w:rPr>
          <w:rFonts w:ascii="Times New Roman" w:hAnsi="Times New Roman" w:cs="Times New Roman"/>
          <w:szCs w:val="26"/>
        </w:rPr>
        <w:t>dditional revenues</w:t>
      </w:r>
      <w:r w:rsidR="00127A99">
        <w:rPr>
          <w:rFonts w:ascii="Times New Roman" w:hAnsi="Times New Roman" w:cs="Times New Roman"/>
          <w:szCs w:val="26"/>
        </w:rPr>
        <w:t>.</w:t>
      </w:r>
      <w:r w:rsidRPr="001C09E3">
        <w:rPr>
          <w:rFonts w:ascii="Times New Roman" w:hAnsi="Times New Roman" w:cs="Times New Roman"/>
          <w:szCs w:val="26"/>
        </w:rPr>
        <w:t xml:space="preserve"> </w:t>
      </w:r>
    </w:p>
    <w:p w:rsidR="00D25889" w:rsidRPr="001C09E3" w:rsidRDefault="00D25889" w:rsidP="00D25889">
      <w:pPr>
        <w:rPr>
          <w:rFonts w:ascii="Times New Roman" w:hAnsi="Times New Roman" w:cs="Times New Roman"/>
          <w:szCs w:val="26"/>
          <w:u w:val="single"/>
        </w:rPr>
      </w:pPr>
      <w:r w:rsidRPr="001C09E3">
        <w:rPr>
          <w:rFonts w:ascii="Times New Roman" w:hAnsi="Times New Roman" w:cs="Times New Roman"/>
          <w:szCs w:val="26"/>
          <w:u w:val="single"/>
        </w:rPr>
        <w:t>Adriaen’s Landing: Hartford, CT</w:t>
      </w:r>
    </w:p>
    <w:p w:rsidR="00D25889" w:rsidRPr="001C09E3" w:rsidRDefault="00D25889" w:rsidP="00127A99">
      <w:pPr>
        <w:rPr>
          <w:rFonts w:ascii="Times New Roman" w:hAnsi="Times New Roman" w:cs="Times New Roman"/>
          <w:szCs w:val="26"/>
        </w:rPr>
      </w:pPr>
      <w:r w:rsidRPr="001C09E3">
        <w:rPr>
          <w:rFonts w:ascii="Times New Roman" w:hAnsi="Times New Roman" w:cs="Times New Roman"/>
          <w:szCs w:val="26"/>
        </w:rPr>
        <w:t>Adriaen’s Landing is a deliberate growth pole made up of thirty-three acres in the city of Hartford that has transformed this once depressed area into a multi-faceted destination of stores, convention centers, apartments and cultural attractions</w:t>
      </w:r>
      <w:r w:rsidR="004455F2">
        <w:rPr>
          <w:rFonts w:ascii="Times New Roman" w:hAnsi="Times New Roman" w:cs="Times New Roman"/>
          <w:szCs w:val="26"/>
        </w:rPr>
        <w:t>,</w:t>
      </w:r>
      <w:r w:rsidRPr="001C09E3">
        <w:rPr>
          <w:rFonts w:ascii="Times New Roman" w:hAnsi="Times New Roman" w:cs="Times New Roman"/>
          <w:szCs w:val="26"/>
        </w:rPr>
        <w:t xml:space="preserve"> </w:t>
      </w:r>
      <w:r w:rsidR="004455F2">
        <w:rPr>
          <w:rFonts w:ascii="Times New Roman" w:hAnsi="Times New Roman" w:cs="Times New Roman"/>
          <w:szCs w:val="26"/>
        </w:rPr>
        <w:t xml:space="preserve">helping </w:t>
      </w:r>
      <w:r w:rsidRPr="001C09E3">
        <w:rPr>
          <w:rFonts w:ascii="Times New Roman" w:hAnsi="Times New Roman" w:cs="Times New Roman"/>
          <w:szCs w:val="26"/>
        </w:rPr>
        <w:t>transform downtown Hartford</w:t>
      </w:r>
      <w:r w:rsidR="004455F2">
        <w:rPr>
          <w:rFonts w:ascii="Times New Roman" w:hAnsi="Times New Roman" w:cs="Times New Roman"/>
          <w:szCs w:val="26"/>
        </w:rPr>
        <w:t>.</w:t>
      </w:r>
      <w:r w:rsidRPr="001C09E3">
        <w:rPr>
          <w:rFonts w:ascii="Times New Roman" w:hAnsi="Times New Roman" w:cs="Times New Roman"/>
          <w:szCs w:val="26"/>
        </w:rPr>
        <w:t xml:space="preserve"> The project was designed to change the landscape of </w:t>
      </w:r>
      <w:r w:rsidR="004455F2">
        <w:rPr>
          <w:rFonts w:ascii="Times New Roman" w:hAnsi="Times New Roman" w:cs="Times New Roman"/>
          <w:szCs w:val="26"/>
        </w:rPr>
        <w:t xml:space="preserve">the </w:t>
      </w:r>
      <w:r w:rsidRPr="001C09E3">
        <w:rPr>
          <w:rFonts w:ascii="Times New Roman" w:hAnsi="Times New Roman" w:cs="Times New Roman"/>
          <w:szCs w:val="26"/>
        </w:rPr>
        <w:t xml:space="preserve">downtown Hartford on a scale that hasn't been seen since the construction of the Civic Center in the mid-1970s and Constitution Plaza in the early 1960s. </w:t>
      </w:r>
      <w:r w:rsidRPr="001C09E3">
        <w:rPr>
          <w:rStyle w:val="FootnoteReference"/>
          <w:rFonts w:ascii="Times New Roman" w:hAnsi="Times New Roman" w:cs="Times New Roman"/>
          <w:szCs w:val="26"/>
        </w:rPr>
        <w:footnoteReference w:id="3"/>
      </w:r>
    </w:p>
    <w:p w:rsidR="00D25889" w:rsidRPr="001C09E3" w:rsidRDefault="00D25889" w:rsidP="00127A99">
      <w:pPr>
        <w:rPr>
          <w:rFonts w:ascii="Times New Roman" w:hAnsi="Times New Roman" w:cs="Times New Roman"/>
          <w:szCs w:val="26"/>
        </w:rPr>
      </w:pPr>
      <w:r w:rsidRPr="001C09E3">
        <w:rPr>
          <w:rFonts w:ascii="Times New Roman" w:hAnsi="Times New Roman" w:cs="Times New Roman"/>
          <w:szCs w:val="26"/>
        </w:rPr>
        <w:t xml:space="preserve">In 1995, The Phoenix Company began preliminary designs for a project to redevelop a plot of land in downtown eastern Hartford. </w:t>
      </w:r>
      <w:r w:rsidRPr="001C09E3">
        <w:rPr>
          <w:rFonts w:ascii="Times New Roman" w:hAnsi="Times New Roman" w:cs="Times New Roman"/>
        </w:rPr>
        <w:t xml:space="preserve">Supported and assisted by The Travelers Group, CTG Resources, Inc., the City of Hartford, the State of Connecticut, and numerous regional organizations, the study grew to include over 30-acres of land and associated air rights in a publicly funded mixed-use complex. </w:t>
      </w:r>
      <w:r w:rsidRPr="001C09E3">
        <w:rPr>
          <w:rStyle w:val="FootnoteReference"/>
          <w:rFonts w:ascii="Times New Roman" w:hAnsi="Times New Roman" w:cs="Times New Roman"/>
        </w:rPr>
        <w:footnoteReference w:id="4"/>
      </w:r>
    </w:p>
    <w:p w:rsidR="00D25889" w:rsidRPr="001C09E3" w:rsidRDefault="00D25889" w:rsidP="00127A99">
      <w:pPr>
        <w:widowControl w:val="0"/>
        <w:autoSpaceDE w:val="0"/>
        <w:autoSpaceDN w:val="0"/>
        <w:adjustRightInd w:val="0"/>
        <w:rPr>
          <w:rFonts w:ascii="Times New Roman" w:hAnsi="Times New Roman" w:cs="Times New Roman"/>
        </w:rPr>
      </w:pPr>
      <w:r w:rsidRPr="001C09E3">
        <w:rPr>
          <w:rFonts w:ascii="Times New Roman" w:hAnsi="Times New Roman" w:cs="Times New Roman"/>
        </w:rPr>
        <w:t xml:space="preserve">As the development began attracting new </w:t>
      </w:r>
      <w:r w:rsidR="004455F2">
        <w:rPr>
          <w:rFonts w:ascii="Times New Roman" w:hAnsi="Times New Roman" w:cs="Times New Roman"/>
        </w:rPr>
        <w:t>interest in</w:t>
      </w:r>
      <w:r w:rsidRPr="001C09E3">
        <w:rPr>
          <w:rFonts w:ascii="Times New Roman" w:hAnsi="Times New Roman" w:cs="Times New Roman"/>
        </w:rPr>
        <w:t xml:space="preserve"> downtown Hartford, Federal, State and Local officials became intrigued and formed The Capital City Economic Deve</w:t>
      </w:r>
      <w:r w:rsidR="00127A99">
        <w:rPr>
          <w:rFonts w:ascii="Times New Roman" w:hAnsi="Times New Roman" w:cs="Times New Roman"/>
        </w:rPr>
        <w:t>lopment Authority and passed</w:t>
      </w:r>
      <w:r w:rsidRPr="001C09E3">
        <w:rPr>
          <w:rFonts w:ascii="Times New Roman" w:hAnsi="Times New Roman" w:cs="Times New Roman"/>
        </w:rPr>
        <w:t xml:space="preserve"> Connecticut Public Act 98-179 which provided further funding for projects in downtown Hartford, including the Adriaen's Landing project. The Capital City Economic Development Authority became</w:t>
      </w:r>
      <w:r w:rsidRPr="001C09E3">
        <w:rPr>
          <w:rFonts w:ascii="Times New Roman" w:hAnsi="Times New Roman" w:cs="Times New Roman"/>
          <w:szCs w:val="26"/>
        </w:rPr>
        <w:t xml:space="preserve"> a quasi-public authority charged with directing certain state-supported economic developments in and around Connecticut's capital city.</w:t>
      </w:r>
      <w:r w:rsidRPr="001C09E3">
        <w:rPr>
          <w:rStyle w:val="FootnoteReference"/>
          <w:rFonts w:ascii="Times New Roman" w:hAnsi="Times New Roman" w:cs="Times New Roman"/>
          <w:szCs w:val="26"/>
        </w:rPr>
        <w:footnoteReference w:id="5"/>
      </w:r>
    </w:p>
    <w:p w:rsidR="00D25889" w:rsidRPr="001C09E3" w:rsidRDefault="00D25889" w:rsidP="00127A99">
      <w:pPr>
        <w:widowControl w:val="0"/>
        <w:autoSpaceDE w:val="0"/>
        <w:autoSpaceDN w:val="0"/>
        <w:adjustRightInd w:val="0"/>
        <w:spacing w:after="240"/>
        <w:rPr>
          <w:rFonts w:ascii="Times New Roman" w:hAnsi="Times New Roman" w:cs="Times New Roman"/>
        </w:rPr>
      </w:pPr>
      <w:r w:rsidRPr="001C09E3">
        <w:rPr>
          <w:rFonts w:ascii="Times New Roman" w:hAnsi="Times New Roman" w:cs="Times New Roman"/>
          <w:color w:val="262626"/>
        </w:rPr>
        <w:t xml:space="preserve">As development of the project began to get underway, the State proposed a team consisting of the Capital City Economic Development Authority (CCEDA), the State of Connecticut Office of Policy and Management (OPM), and the Waterford Group. The team worked together to revise ideas and situations for the development of the project under the auspices of Public Act 99-241, which was enacted to alter the initial development legislation, and on May 31, 2001, Governor John G. Rowland, Mayor Michael P. </w:t>
      </w:r>
      <w:r w:rsidRPr="001C09E3">
        <w:rPr>
          <w:rFonts w:ascii="Times New Roman" w:hAnsi="Times New Roman" w:cs="Times New Roman"/>
          <w:color w:val="262626"/>
        </w:rPr>
        <w:lastRenderedPageBreak/>
        <w:t>Peters, and Waterford Development CEO Len Wolman broke ground at Adriaen's Landing.</w:t>
      </w:r>
      <w:r w:rsidRPr="001C09E3">
        <w:rPr>
          <w:rStyle w:val="FootnoteReference"/>
          <w:rFonts w:ascii="Times New Roman" w:hAnsi="Times New Roman" w:cs="Times New Roman"/>
          <w:color w:val="262626"/>
        </w:rPr>
        <w:footnoteReference w:id="6"/>
      </w:r>
    </w:p>
    <w:p w:rsidR="00D25889" w:rsidRPr="001C09E3" w:rsidRDefault="00D25889" w:rsidP="004455F2">
      <w:pPr>
        <w:widowControl w:val="0"/>
        <w:autoSpaceDE w:val="0"/>
        <w:autoSpaceDN w:val="0"/>
        <w:adjustRightInd w:val="0"/>
        <w:rPr>
          <w:rFonts w:ascii="Times New Roman" w:hAnsi="Times New Roman" w:cs="Times New Roman"/>
          <w:color w:val="262626"/>
        </w:rPr>
      </w:pPr>
      <w:r w:rsidRPr="001C09E3">
        <w:rPr>
          <w:rFonts w:ascii="Times New Roman" w:hAnsi="Times New Roman" w:cs="Times New Roman"/>
        </w:rPr>
        <w:t xml:space="preserve">The centerpiece of Adriaen’s Landing is The Connecticut Convention Center which rests on the edge of downtown Hartford. </w:t>
      </w:r>
      <w:r w:rsidRPr="001C09E3">
        <w:rPr>
          <w:rFonts w:ascii="Times New Roman" w:hAnsi="Times New Roman" w:cs="Times New Roman"/>
          <w:color w:val="262626"/>
        </w:rPr>
        <w:t xml:space="preserve">The building cost </w:t>
      </w:r>
      <w:r w:rsidR="00127A99">
        <w:rPr>
          <w:rFonts w:ascii="Times New Roman" w:hAnsi="Times New Roman" w:cs="Times New Roman"/>
          <w:color w:val="262626"/>
        </w:rPr>
        <w:t>$271 million, and</w:t>
      </w:r>
      <w:r w:rsidRPr="001C09E3">
        <w:rPr>
          <w:rFonts w:ascii="Times New Roman" w:hAnsi="Times New Roman" w:cs="Times New Roman"/>
          <w:color w:val="262626"/>
        </w:rPr>
        <w:t xml:space="preserve"> encompasses more than 200,000 square feet of exhibition and meeting space overlooking the Connecticut River</w:t>
      </w:r>
      <w:r w:rsidR="004455F2">
        <w:rPr>
          <w:rFonts w:ascii="Times New Roman" w:hAnsi="Times New Roman" w:cs="Times New Roman"/>
          <w:color w:val="262626"/>
        </w:rPr>
        <w:t xml:space="preserve"> where interstates 84 and 91 converge.</w:t>
      </w:r>
      <w:r w:rsidRPr="001C09E3">
        <w:rPr>
          <w:rStyle w:val="FootnoteReference"/>
          <w:rFonts w:ascii="Times New Roman" w:hAnsi="Times New Roman" w:cs="Times New Roman"/>
          <w:color w:val="262626"/>
        </w:rPr>
        <w:footnoteReference w:id="7"/>
      </w:r>
      <w:r w:rsidRPr="001C09E3">
        <w:rPr>
          <w:rFonts w:ascii="Times New Roman" w:hAnsi="Times New Roman" w:cs="Times New Roman"/>
          <w:color w:val="262626"/>
        </w:rPr>
        <w:t xml:space="preserve"> The ability to modify the existing infrastructure of the interstate</w:t>
      </w:r>
      <w:r w:rsidR="004455F2">
        <w:rPr>
          <w:rFonts w:ascii="Times New Roman" w:hAnsi="Times New Roman" w:cs="Times New Roman"/>
          <w:color w:val="262626"/>
        </w:rPr>
        <w:t>s</w:t>
      </w:r>
      <w:r w:rsidRPr="001C09E3">
        <w:rPr>
          <w:rFonts w:ascii="Times New Roman" w:hAnsi="Times New Roman" w:cs="Times New Roman"/>
          <w:color w:val="262626"/>
        </w:rPr>
        <w:t xml:space="preserve"> </w:t>
      </w:r>
      <w:r w:rsidR="004455F2">
        <w:rPr>
          <w:rFonts w:ascii="Times New Roman" w:hAnsi="Times New Roman" w:cs="Times New Roman"/>
          <w:color w:val="262626"/>
        </w:rPr>
        <w:t>reinforces</w:t>
      </w:r>
      <w:r w:rsidRPr="001C09E3">
        <w:rPr>
          <w:rFonts w:ascii="Times New Roman" w:hAnsi="Times New Roman" w:cs="Times New Roman"/>
          <w:color w:val="262626"/>
        </w:rPr>
        <w:t xml:space="preserve"> the success of this </w:t>
      </w:r>
      <w:r w:rsidR="00127A99">
        <w:rPr>
          <w:rFonts w:ascii="Times New Roman" w:hAnsi="Times New Roman" w:cs="Times New Roman"/>
          <w:color w:val="262626"/>
        </w:rPr>
        <w:t>development</w:t>
      </w:r>
      <w:r w:rsidRPr="001C09E3">
        <w:rPr>
          <w:rFonts w:ascii="Times New Roman" w:hAnsi="Times New Roman" w:cs="Times New Roman"/>
          <w:color w:val="262626"/>
        </w:rPr>
        <w:t xml:space="preserve"> because it allows for straightforward transportation from highway to destination. In addition to the convenient access from highways, the Convention Center is also connected to The Marriott Hartford Downtown, which is the first new Hartford hotel development in more than 20 years. These two buildings are able to create employment opportunities for local residents in addition to attracting large numbers of visitors from neighboring states. The convention center allows for large business meetings and trade shows, so it attracts foreign companies to the area to work during the day and stay overnight at the Marriott Hotel. </w:t>
      </w:r>
    </w:p>
    <w:p w:rsidR="00D25889" w:rsidRPr="001C09E3" w:rsidRDefault="00D25889" w:rsidP="00127A99">
      <w:pPr>
        <w:widowControl w:val="0"/>
        <w:autoSpaceDE w:val="0"/>
        <w:autoSpaceDN w:val="0"/>
        <w:adjustRightInd w:val="0"/>
        <w:spacing w:after="240"/>
        <w:rPr>
          <w:rFonts w:ascii="Times New Roman" w:hAnsi="Times New Roman" w:cs="Times New Roman"/>
          <w:color w:val="262626"/>
        </w:rPr>
      </w:pPr>
      <w:r w:rsidRPr="001C09E3">
        <w:rPr>
          <w:rFonts w:ascii="Times New Roman" w:hAnsi="Times New Roman" w:cs="Times New Roman"/>
        </w:rPr>
        <w:t xml:space="preserve">In June 2009, the </w:t>
      </w:r>
      <w:r w:rsidRPr="001C09E3">
        <w:rPr>
          <w:rFonts w:ascii="Times New Roman" w:hAnsi="Times New Roman" w:cs="Times New Roman"/>
          <w:color w:val="262626"/>
        </w:rPr>
        <w:t xml:space="preserve">Connecticut Science Center was opened to the public after years of extensive planning for this education economic development initiative at Adriaen’s Landing. This </w:t>
      </w:r>
      <w:r w:rsidR="00127A99">
        <w:rPr>
          <w:rFonts w:ascii="Times New Roman" w:hAnsi="Times New Roman" w:cs="Times New Roman"/>
          <w:color w:val="262626"/>
        </w:rPr>
        <w:t>$</w:t>
      </w:r>
      <w:r w:rsidRPr="001C09E3">
        <w:rPr>
          <w:rFonts w:ascii="Times New Roman" w:hAnsi="Times New Roman" w:cs="Times New Roman"/>
          <w:color w:val="262626"/>
        </w:rPr>
        <w:t xml:space="preserve">150 million science center has become a regional destination attraction and is expected to draw up to 400,000 visitors a year.  The Science Center is located next to the Connecticut Convention Center and </w:t>
      </w:r>
      <w:r w:rsidR="006439B1">
        <w:rPr>
          <w:rFonts w:ascii="Times New Roman" w:hAnsi="Times New Roman" w:cs="Times New Roman"/>
          <w:color w:val="262626"/>
        </w:rPr>
        <w:t xml:space="preserve">is </w:t>
      </w:r>
      <w:r w:rsidRPr="001C09E3">
        <w:rPr>
          <w:rFonts w:ascii="Times New Roman" w:hAnsi="Times New Roman" w:cs="Times New Roman"/>
          <w:color w:val="262626"/>
        </w:rPr>
        <w:t xml:space="preserve">within walking distance </w:t>
      </w:r>
      <w:r w:rsidR="00127A99">
        <w:rPr>
          <w:rFonts w:ascii="Times New Roman" w:hAnsi="Times New Roman" w:cs="Times New Roman"/>
          <w:color w:val="262626"/>
        </w:rPr>
        <w:t>of</w:t>
      </w:r>
      <w:r w:rsidR="00A02785">
        <w:rPr>
          <w:rFonts w:ascii="Times New Roman" w:hAnsi="Times New Roman" w:cs="Times New Roman"/>
          <w:color w:val="262626"/>
        </w:rPr>
        <w:t xml:space="preserve"> </w:t>
      </w:r>
      <w:r w:rsidRPr="001C09E3">
        <w:rPr>
          <w:rFonts w:ascii="Times New Roman" w:hAnsi="Times New Roman" w:cs="Times New Roman"/>
          <w:color w:val="262626"/>
        </w:rPr>
        <w:t xml:space="preserve">neighborhoods and the entertainment/retail district of Front Street. In addition to its convenience to other popular attractions, the center provides the potential for innovation in Adriaen’s Landing as well as the surrounding periphery by providing information on advancements in the current technological world. The Connecticut Science Center is a vital new resource for parents, students, and </w:t>
      </w:r>
      <w:r w:rsidR="00A02785">
        <w:rPr>
          <w:rFonts w:ascii="Times New Roman" w:hAnsi="Times New Roman" w:cs="Times New Roman"/>
          <w:color w:val="262626"/>
        </w:rPr>
        <w:t xml:space="preserve">the </w:t>
      </w:r>
      <w:r w:rsidRPr="001C09E3">
        <w:rPr>
          <w:rFonts w:ascii="Times New Roman" w:hAnsi="Times New Roman" w:cs="Times New Roman"/>
          <w:color w:val="262626"/>
        </w:rPr>
        <w:t>educational system because</w:t>
      </w:r>
      <w:r w:rsidR="00A02785">
        <w:rPr>
          <w:rFonts w:ascii="Times New Roman" w:hAnsi="Times New Roman" w:cs="Times New Roman"/>
          <w:color w:val="262626"/>
        </w:rPr>
        <w:t>,</w:t>
      </w:r>
      <w:r w:rsidRPr="001C09E3">
        <w:rPr>
          <w:rFonts w:ascii="Times New Roman" w:hAnsi="Times New Roman" w:cs="Times New Roman"/>
          <w:color w:val="262626"/>
        </w:rPr>
        <w:t xml:space="preserve"> as the competition for scientific discovery and technology leadership increases, the center has the ability to teach and provide the most up to date information for individuals of all ages. </w:t>
      </w:r>
      <w:r w:rsidR="00A02785">
        <w:rPr>
          <w:rFonts w:ascii="Times New Roman" w:hAnsi="Times New Roman" w:cs="Times New Roman"/>
          <w:color w:val="262626"/>
        </w:rPr>
        <w:t>T</w:t>
      </w:r>
      <w:r w:rsidRPr="001C09E3">
        <w:rPr>
          <w:rFonts w:ascii="Times New Roman" w:hAnsi="Times New Roman" w:cs="Times New Roman"/>
          <w:color w:val="262626"/>
        </w:rPr>
        <w:t xml:space="preserve">he </w:t>
      </w:r>
      <w:r w:rsidR="00A02785">
        <w:rPr>
          <w:rFonts w:ascii="Times New Roman" w:hAnsi="Times New Roman" w:cs="Times New Roman"/>
          <w:color w:val="262626"/>
        </w:rPr>
        <w:t>S</w:t>
      </w:r>
      <w:r w:rsidRPr="001C09E3">
        <w:rPr>
          <w:rFonts w:ascii="Times New Roman" w:hAnsi="Times New Roman" w:cs="Times New Roman"/>
          <w:color w:val="262626"/>
        </w:rPr>
        <w:t xml:space="preserve">cience </w:t>
      </w:r>
      <w:r w:rsidR="00A02785">
        <w:rPr>
          <w:rFonts w:ascii="Times New Roman" w:hAnsi="Times New Roman" w:cs="Times New Roman"/>
          <w:color w:val="262626"/>
        </w:rPr>
        <w:t>C</w:t>
      </w:r>
      <w:r w:rsidRPr="001C09E3">
        <w:rPr>
          <w:rFonts w:ascii="Times New Roman" w:hAnsi="Times New Roman" w:cs="Times New Roman"/>
          <w:color w:val="262626"/>
        </w:rPr>
        <w:t xml:space="preserve">enter </w:t>
      </w:r>
      <w:r w:rsidR="00A02785">
        <w:rPr>
          <w:rFonts w:ascii="Times New Roman" w:hAnsi="Times New Roman" w:cs="Times New Roman"/>
          <w:color w:val="262626"/>
        </w:rPr>
        <w:t>attracts</w:t>
      </w:r>
      <w:r w:rsidRPr="001C09E3">
        <w:rPr>
          <w:rFonts w:ascii="Times New Roman" w:hAnsi="Times New Roman" w:cs="Times New Roman"/>
          <w:color w:val="262626"/>
        </w:rPr>
        <w:t xml:space="preserve"> families and schools from around the state </w:t>
      </w:r>
      <w:r w:rsidR="00A02785">
        <w:rPr>
          <w:rFonts w:ascii="Times New Roman" w:hAnsi="Times New Roman" w:cs="Times New Roman"/>
          <w:color w:val="262626"/>
        </w:rPr>
        <w:t>to its</w:t>
      </w:r>
      <w:r w:rsidRPr="001C09E3">
        <w:rPr>
          <w:rFonts w:ascii="Times New Roman" w:hAnsi="Times New Roman" w:cs="Times New Roman"/>
          <w:color w:val="262626"/>
        </w:rPr>
        <w:t xml:space="preserve"> 140,000 square feet of exhibition space, laboratories and a 3-dimensional theater to help facilitate new learning and talent. </w:t>
      </w:r>
      <w:r w:rsidRPr="001C09E3">
        <w:rPr>
          <w:rStyle w:val="FootnoteReference"/>
          <w:rFonts w:ascii="Times New Roman" w:hAnsi="Times New Roman" w:cs="Times New Roman"/>
          <w:color w:val="262626"/>
        </w:rPr>
        <w:footnoteReference w:id="8"/>
      </w:r>
      <w:r w:rsidRPr="001C09E3">
        <w:rPr>
          <w:rFonts w:ascii="Times New Roman" w:hAnsi="Times New Roman" w:cs="Times New Roman"/>
          <w:color w:val="262626"/>
        </w:rPr>
        <w:t xml:space="preserve"> The science center creates valuable linkages that are both backward and forward because it is able to teach young generations about science and information, while also doing research with experts to further </w:t>
      </w:r>
      <w:r w:rsidR="00A02785">
        <w:rPr>
          <w:rFonts w:ascii="Times New Roman" w:hAnsi="Times New Roman" w:cs="Times New Roman"/>
          <w:color w:val="262626"/>
        </w:rPr>
        <w:t xml:space="preserve">scientific </w:t>
      </w:r>
      <w:r w:rsidRPr="001C09E3">
        <w:rPr>
          <w:rFonts w:ascii="Times New Roman" w:hAnsi="Times New Roman" w:cs="Times New Roman"/>
          <w:color w:val="262626"/>
        </w:rPr>
        <w:t>developments</w:t>
      </w:r>
    </w:p>
    <w:p w:rsidR="00D25889" w:rsidRPr="001C09E3" w:rsidRDefault="00D25889" w:rsidP="00A02785">
      <w:pPr>
        <w:widowControl w:val="0"/>
        <w:autoSpaceDE w:val="0"/>
        <w:autoSpaceDN w:val="0"/>
        <w:adjustRightInd w:val="0"/>
        <w:spacing w:after="240"/>
        <w:rPr>
          <w:rFonts w:ascii="Times New Roman" w:hAnsi="Times New Roman" w:cs="Times New Roman"/>
          <w:color w:val="262626"/>
        </w:rPr>
      </w:pPr>
      <w:r w:rsidRPr="001C09E3">
        <w:rPr>
          <w:rFonts w:ascii="Times New Roman" w:hAnsi="Times New Roman" w:cs="Times New Roman"/>
          <w:color w:val="262626"/>
        </w:rPr>
        <w:t xml:space="preserve">The final development </w:t>
      </w:r>
      <w:r w:rsidR="00B314E6">
        <w:rPr>
          <w:rFonts w:ascii="Times New Roman" w:hAnsi="Times New Roman" w:cs="Times New Roman"/>
          <w:color w:val="262626"/>
        </w:rPr>
        <w:t xml:space="preserve">project </w:t>
      </w:r>
      <w:r w:rsidRPr="001C09E3">
        <w:rPr>
          <w:rFonts w:ascii="Times New Roman" w:hAnsi="Times New Roman" w:cs="Times New Roman"/>
          <w:color w:val="262626"/>
        </w:rPr>
        <w:t>within Adriaen's Landing was the nine-acre residential, entertainment, and retail district known as Front Street. This district was located directly across from the Convention Center and was designed to bring back the once bustling riverfront neighborhood by enhancing the visitor experience with a variety of amenities. Front Street provided local residents with a destination designed to facilitate evening entertainment and leisure.  It was also convenient for visi</w:t>
      </w:r>
      <w:r w:rsidR="00B314E6">
        <w:rPr>
          <w:rFonts w:ascii="Times New Roman" w:hAnsi="Times New Roman" w:cs="Times New Roman"/>
          <w:color w:val="262626"/>
        </w:rPr>
        <w:t>tors because after attending a trade show, business people</w:t>
      </w:r>
      <w:r w:rsidRPr="001C09E3">
        <w:rPr>
          <w:rFonts w:ascii="Times New Roman" w:hAnsi="Times New Roman" w:cs="Times New Roman"/>
          <w:color w:val="262626"/>
        </w:rPr>
        <w:t xml:space="preserve"> could then walk across the street to get dinner and entertainment with the beautiful views of the water. As the district became increasingly well known, more businesses wanted to locate within the area because of the increase in propulsive firms and presence of self-sustaining growth. </w:t>
      </w:r>
    </w:p>
    <w:p w:rsidR="00D25889" w:rsidRPr="001C09E3" w:rsidRDefault="00D25889" w:rsidP="00127A99">
      <w:pPr>
        <w:widowControl w:val="0"/>
        <w:autoSpaceDE w:val="0"/>
        <w:autoSpaceDN w:val="0"/>
        <w:adjustRightInd w:val="0"/>
        <w:rPr>
          <w:rFonts w:ascii="Times New Roman" w:hAnsi="Times New Roman" w:cs="Times New Roman"/>
          <w:szCs w:val="26"/>
        </w:rPr>
      </w:pPr>
      <w:r w:rsidRPr="001C09E3">
        <w:rPr>
          <w:rFonts w:ascii="Times New Roman" w:hAnsi="Times New Roman" w:cs="Times New Roman"/>
          <w:color w:val="262626"/>
        </w:rPr>
        <w:lastRenderedPageBreak/>
        <w:t xml:space="preserve">These attractions within Adriaen’s Landing have been very successful in drawing people to the area and it has encouraged a rise in growth and employment. </w:t>
      </w:r>
      <w:r w:rsidRPr="001C09E3">
        <w:rPr>
          <w:rFonts w:ascii="Times New Roman" w:hAnsi="Times New Roman" w:cs="Times New Roman"/>
          <w:szCs w:val="26"/>
        </w:rPr>
        <w:t>In July 2008, an economic and fiscal impact study of Adriaen’s Landing projected that the project would create an average of 1,852 jobs and $7.8 million in net new tax revenue annually for the state. The study, conducted by the Department of Economic and Community Development, also concludes that the city will realize an annual average of $26,453,876 in net new local revenue as a result of Adriaen’s Landing’s construction and operations.</w:t>
      </w:r>
      <w:r w:rsidRPr="001C09E3">
        <w:rPr>
          <w:rStyle w:val="FootnoteReference"/>
          <w:rFonts w:ascii="Times New Roman" w:hAnsi="Times New Roman" w:cs="Times New Roman"/>
          <w:szCs w:val="26"/>
        </w:rPr>
        <w:footnoteReference w:id="9"/>
      </w:r>
      <w:r w:rsidRPr="001C09E3">
        <w:rPr>
          <w:rFonts w:ascii="Times New Roman" w:hAnsi="Times New Roman" w:cs="Times New Roman"/>
          <w:color w:val="262626"/>
        </w:rPr>
        <w:t xml:space="preserve"> With the help of Adriaen’s Landing, </w:t>
      </w:r>
      <w:r w:rsidR="00B314E6">
        <w:rPr>
          <w:rFonts w:ascii="Times New Roman" w:hAnsi="Times New Roman" w:cs="Times New Roman"/>
          <w:color w:val="262626"/>
        </w:rPr>
        <w:t xml:space="preserve">this section of </w:t>
      </w:r>
      <w:r w:rsidRPr="001C09E3">
        <w:rPr>
          <w:rFonts w:ascii="Times New Roman" w:hAnsi="Times New Roman" w:cs="Times New Roman"/>
          <w:color w:val="262626"/>
        </w:rPr>
        <w:t xml:space="preserve">Hartford has been transformed into an multi-faceted, waterfront destination for the first time in decades. </w:t>
      </w:r>
      <w:r w:rsidRPr="001C09E3">
        <w:rPr>
          <w:rFonts w:ascii="Times New Roman" w:hAnsi="Times New Roman" w:cs="Times New Roman"/>
          <w:szCs w:val="26"/>
        </w:rPr>
        <w:t>The development has created new signs of confidence in the city’s future and has expanded Hartford’s infrastructure into the periphery of surrounding cities and towns within the area.</w:t>
      </w:r>
    </w:p>
    <w:p w:rsidR="00D25889" w:rsidRPr="001C09E3" w:rsidRDefault="00D25889" w:rsidP="00D25889">
      <w:pPr>
        <w:widowControl w:val="0"/>
        <w:autoSpaceDE w:val="0"/>
        <w:autoSpaceDN w:val="0"/>
        <w:adjustRightInd w:val="0"/>
        <w:rPr>
          <w:rFonts w:ascii="Times New Roman" w:hAnsi="Times New Roman" w:cs="Times New Roman"/>
          <w:szCs w:val="26"/>
          <w:u w:val="single"/>
        </w:rPr>
      </w:pPr>
      <w:r w:rsidRPr="001C09E3">
        <w:rPr>
          <w:rFonts w:ascii="Times New Roman" w:hAnsi="Times New Roman" w:cs="Times New Roman"/>
          <w:szCs w:val="26"/>
          <w:u w:val="single"/>
        </w:rPr>
        <w:t>Steel</w:t>
      </w:r>
      <w:r w:rsidR="00B314E6">
        <w:rPr>
          <w:rFonts w:ascii="Times New Roman" w:hAnsi="Times New Roman" w:cs="Times New Roman"/>
          <w:szCs w:val="26"/>
          <w:u w:val="single"/>
        </w:rPr>
        <w:t xml:space="preserve"> P</w:t>
      </w:r>
      <w:r w:rsidRPr="001C09E3">
        <w:rPr>
          <w:rFonts w:ascii="Times New Roman" w:hAnsi="Times New Roman" w:cs="Times New Roman"/>
          <w:szCs w:val="26"/>
          <w:u w:val="single"/>
        </w:rPr>
        <w:t>oint Harbor: Bridgeport, CT</w:t>
      </w:r>
    </w:p>
    <w:p w:rsidR="00D25889" w:rsidRPr="001C09E3" w:rsidRDefault="00D25889" w:rsidP="00D25889">
      <w:pPr>
        <w:rPr>
          <w:rFonts w:ascii="Times New Roman" w:hAnsi="Times New Roman" w:cs="Times New Roman"/>
        </w:rPr>
      </w:pPr>
      <w:r w:rsidRPr="001C09E3">
        <w:rPr>
          <w:rFonts w:ascii="Times New Roman" w:hAnsi="Times New Roman" w:cs="Times New Roman"/>
        </w:rPr>
        <w:t>The current Steel</w:t>
      </w:r>
      <w:r w:rsidR="00B314E6">
        <w:rPr>
          <w:rFonts w:ascii="Times New Roman" w:hAnsi="Times New Roman" w:cs="Times New Roman"/>
        </w:rPr>
        <w:t xml:space="preserve"> P</w:t>
      </w:r>
      <w:r w:rsidRPr="001C09E3">
        <w:rPr>
          <w:rFonts w:ascii="Times New Roman" w:hAnsi="Times New Roman" w:cs="Times New Roman"/>
        </w:rPr>
        <w:t xml:space="preserve">oint Harbor project is a major attempt to redevelop the </w:t>
      </w:r>
      <w:r w:rsidR="00B314E6">
        <w:rPr>
          <w:rFonts w:ascii="Times New Roman" w:hAnsi="Times New Roman" w:cs="Times New Roman"/>
        </w:rPr>
        <w:t xml:space="preserve">harbor </w:t>
      </w:r>
      <w:r w:rsidRPr="001C09E3">
        <w:rPr>
          <w:rFonts w:ascii="Times New Roman" w:hAnsi="Times New Roman" w:cs="Times New Roman"/>
        </w:rPr>
        <w:t xml:space="preserve">area </w:t>
      </w:r>
      <w:r w:rsidR="00B314E6">
        <w:rPr>
          <w:rFonts w:ascii="Times New Roman" w:hAnsi="Times New Roman" w:cs="Times New Roman"/>
        </w:rPr>
        <w:t>of</w:t>
      </w:r>
      <w:r w:rsidRPr="001C09E3">
        <w:rPr>
          <w:rFonts w:ascii="Times New Roman" w:hAnsi="Times New Roman" w:cs="Times New Roman"/>
        </w:rPr>
        <w:t xml:space="preserve"> Bridgeport and push back against the city’s decline. The region has great potential for growth, yet is associated with a number of failed attempts to stimulate the city’s economy. The city contains many brownfields, </w:t>
      </w:r>
      <w:r w:rsidR="00B314E6">
        <w:rPr>
          <w:rFonts w:ascii="Times New Roman" w:hAnsi="Times New Roman" w:cs="Times New Roman"/>
        </w:rPr>
        <w:t>a</w:t>
      </w:r>
      <w:r w:rsidRPr="001C09E3">
        <w:rPr>
          <w:rFonts w:ascii="Times New Roman" w:hAnsi="Times New Roman" w:cs="Times New Roman"/>
        </w:rPr>
        <w:t>bandoned, industrial areas</w:t>
      </w:r>
      <w:r w:rsidR="00B314E6">
        <w:rPr>
          <w:rFonts w:ascii="Times New Roman" w:hAnsi="Times New Roman" w:cs="Times New Roman"/>
        </w:rPr>
        <w:t>, left over from the city’s former role as a manufacturing center</w:t>
      </w:r>
      <w:r w:rsidRPr="001C09E3">
        <w:rPr>
          <w:rFonts w:ascii="Times New Roman" w:hAnsi="Times New Roman" w:cs="Times New Roman"/>
        </w:rPr>
        <w:t>. The Steel</w:t>
      </w:r>
      <w:r w:rsidR="00B314E6">
        <w:rPr>
          <w:rFonts w:ascii="Times New Roman" w:hAnsi="Times New Roman" w:cs="Times New Roman"/>
        </w:rPr>
        <w:t xml:space="preserve"> P</w:t>
      </w:r>
      <w:r w:rsidRPr="001C09E3">
        <w:rPr>
          <w:rFonts w:ascii="Times New Roman" w:hAnsi="Times New Roman" w:cs="Times New Roman"/>
        </w:rPr>
        <w:t>oint Harbor project aims to redevelop a peninsula in Bridgeport, h</w:t>
      </w:r>
      <w:r w:rsidR="00B314E6">
        <w:rPr>
          <w:rFonts w:ascii="Times New Roman" w:hAnsi="Times New Roman" w:cs="Times New Roman"/>
        </w:rPr>
        <w:t>opefully leading to the</w:t>
      </w:r>
      <w:r w:rsidRPr="001C09E3">
        <w:rPr>
          <w:rFonts w:ascii="Times New Roman" w:hAnsi="Times New Roman" w:cs="Times New Roman"/>
        </w:rPr>
        <w:t xml:space="preserve"> revitalization of a city. Ideally, the area will serve as a center for growth, resulting in a number of spillovers into the city and surrounding areas.</w:t>
      </w:r>
    </w:p>
    <w:p w:rsidR="00D25889" w:rsidRPr="001C09E3" w:rsidRDefault="00D25889" w:rsidP="00D25889">
      <w:pPr>
        <w:rPr>
          <w:rFonts w:ascii="Times New Roman" w:hAnsi="Times New Roman" w:cs="Times New Roman"/>
        </w:rPr>
      </w:pPr>
      <w:r w:rsidRPr="001C09E3">
        <w:rPr>
          <w:rFonts w:ascii="Times New Roman" w:hAnsi="Times New Roman" w:cs="Times New Roman"/>
        </w:rPr>
        <w:t>The land being used in this development project is currently considered a brownfield, once home to a steel plant and electrical substation. A substantial amount of cleanup was required due to a number of pollution problems</w:t>
      </w:r>
      <w:r w:rsidRPr="001C09E3">
        <w:rPr>
          <w:rStyle w:val="FootnoteReference"/>
          <w:rFonts w:ascii="Times New Roman" w:hAnsi="Times New Roman" w:cs="Times New Roman"/>
        </w:rPr>
        <w:footnoteReference w:id="10"/>
      </w:r>
      <w:r w:rsidRPr="001C09E3">
        <w:rPr>
          <w:rFonts w:ascii="Times New Roman" w:hAnsi="Times New Roman" w:cs="Times New Roman"/>
        </w:rPr>
        <w:t>. This serve</w:t>
      </w:r>
      <w:r w:rsidR="00B314E6">
        <w:rPr>
          <w:rFonts w:ascii="Times New Roman" w:hAnsi="Times New Roman" w:cs="Times New Roman"/>
        </w:rPr>
        <w:t>d</w:t>
      </w:r>
      <w:r w:rsidRPr="001C09E3">
        <w:rPr>
          <w:rFonts w:ascii="Times New Roman" w:hAnsi="Times New Roman" w:cs="Times New Roman"/>
        </w:rPr>
        <w:t xml:space="preserve"> as a </w:t>
      </w:r>
      <w:r w:rsidR="00B314E6">
        <w:rPr>
          <w:rFonts w:ascii="Times New Roman" w:hAnsi="Times New Roman" w:cs="Times New Roman"/>
        </w:rPr>
        <w:t xml:space="preserve">preliminary </w:t>
      </w:r>
      <w:r w:rsidRPr="001C09E3">
        <w:rPr>
          <w:rFonts w:ascii="Times New Roman" w:hAnsi="Times New Roman" w:cs="Times New Roman"/>
        </w:rPr>
        <w:t xml:space="preserve">benefit for both the developers </w:t>
      </w:r>
      <w:r w:rsidR="00B314E6">
        <w:rPr>
          <w:rFonts w:ascii="Times New Roman" w:hAnsi="Times New Roman" w:cs="Times New Roman"/>
        </w:rPr>
        <w:t>and</w:t>
      </w:r>
      <w:r w:rsidRPr="001C09E3">
        <w:rPr>
          <w:rFonts w:ascii="Times New Roman" w:hAnsi="Times New Roman" w:cs="Times New Roman"/>
        </w:rPr>
        <w:t xml:space="preserve"> the community in terms of </w:t>
      </w:r>
      <w:r w:rsidR="00B314E6">
        <w:rPr>
          <w:rFonts w:ascii="Times New Roman" w:hAnsi="Times New Roman" w:cs="Times New Roman"/>
        </w:rPr>
        <w:t>upgrading the environmental health of the city</w:t>
      </w:r>
      <w:r w:rsidRPr="001C09E3">
        <w:rPr>
          <w:rFonts w:ascii="Times New Roman" w:hAnsi="Times New Roman" w:cs="Times New Roman"/>
        </w:rPr>
        <w:t>. Steel</w:t>
      </w:r>
      <w:r w:rsidR="00B314E6">
        <w:rPr>
          <w:rFonts w:ascii="Times New Roman" w:hAnsi="Times New Roman" w:cs="Times New Roman"/>
        </w:rPr>
        <w:t xml:space="preserve"> P</w:t>
      </w:r>
      <w:r w:rsidRPr="001C09E3">
        <w:rPr>
          <w:rFonts w:ascii="Times New Roman" w:hAnsi="Times New Roman" w:cs="Times New Roman"/>
        </w:rPr>
        <w:t>oint Harbor, spanning fifty-two acres, will bring $1.5 billion into the city once completed. The neighborhood will include an array of new developments, including restaurants, shopping centers, entertainment facilities, residential and office buildings, and a yacht club</w:t>
      </w:r>
      <w:r w:rsidRPr="001C09E3">
        <w:rPr>
          <w:rStyle w:val="FootnoteReference"/>
          <w:rFonts w:ascii="Times New Roman" w:hAnsi="Times New Roman" w:cs="Times New Roman"/>
        </w:rPr>
        <w:footnoteReference w:id="11"/>
      </w:r>
      <w:r w:rsidRPr="001C09E3">
        <w:rPr>
          <w:rFonts w:ascii="Times New Roman" w:hAnsi="Times New Roman" w:cs="Times New Roman"/>
        </w:rPr>
        <w:t>. The crucial element in this project is the ability of developers to integrate Steel</w:t>
      </w:r>
      <w:r w:rsidR="00B314E6">
        <w:rPr>
          <w:rFonts w:ascii="Times New Roman" w:hAnsi="Times New Roman" w:cs="Times New Roman"/>
        </w:rPr>
        <w:t xml:space="preserve"> P</w:t>
      </w:r>
      <w:r w:rsidRPr="001C09E3">
        <w:rPr>
          <w:rFonts w:ascii="Times New Roman" w:hAnsi="Times New Roman" w:cs="Times New Roman"/>
        </w:rPr>
        <w:t>oint Harbor into the city</w:t>
      </w:r>
      <w:r w:rsidR="00B314E6">
        <w:rPr>
          <w:rFonts w:ascii="Times New Roman" w:hAnsi="Times New Roman" w:cs="Times New Roman"/>
        </w:rPr>
        <w:t xml:space="preserve"> as a whole</w:t>
      </w:r>
      <w:r w:rsidRPr="001C09E3">
        <w:rPr>
          <w:rFonts w:ascii="Times New Roman" w:hAnsi="Times New Roman" w:cs="Times New Roman"/>
        </w:rPr>
        <w:t xml:space="preserve">. A successful integration will provide linkages to surrounding areas, benefiting residents and visitors. The construction of office buildings will attract a unique genre of people to an area that has been </w:t>
      </w:r>
      <w:r w:rsidR="007201F3">
        <w:rPr>
          <w:rFonts w:ascii="Times New Roman" w:hAnsi="Times New Roman" w:cs="Times New Roman"/>
        </w:rPr>
        <w:t>abandoned for a significant period of time</w:t>
      </w:r>
      <w:r w:rsidRPr="001C09E3">
        <w:rPr>
          <w:rFonts w:ascii="Times New Roman" w:hAnsi="Times New Roman" w:cs="Times New Roman"/>
        </w:rPr>
        <w:t xml:space="preserve">. </w:t>
      </w:r>
      <w:r w:rsidR="007201F3">
        <w:rPr>
          <w:rFonts w:ascii="Times New Roman" w:hAnsi="Times New Roman" w:cs="Times New Roman"/>
        </w:rPr>
        <w:t>Businesses</w:t>
      </w:r>
      <w:r w:rsidRPr="001C09E3">
        <w:rPr>
          <w:rFonts w:ascii="Times New Roman" w:hAnsi="Times New Roman" w:cs="Times New Roman"/>
        </w:rPr>
        <w:t xml:space="preserve"> will bring in people on a daily basis, resulting in constant </w:t>
      </w:r>
      <w:r w:rsidR="007201F3">
        <w:rPr>
          <w:rFonts w:ascii="Times New Roman" w:hAnsi="Times New Roman" w:cs="Times New Roman"/>
        </w:rPr>
        <w:t>economic</w:t>
      </w:r>
      <w:r w:rsidRPr="001C09E3">
        <w:rPr>
          <w:rFonts w:ascii="Times New Roman" w:hAnsi="Times New Roman" w:cs="Times New Roman"/>
        </w:rPr>
        <w:t xml:space="preserve"> interaction. For example, people working in Steel</w:t>
      </w:r>
      <w:r w:rsidR="007201F3">
        <w:rPr>
          <w:rFonts w:ascii="Times New Roman" w:hAnsi="Times New Roman" w:cs="Times New Roman"/>
        </w:rPr>
        <w:t xml:space="preserve"> P</w:t>
      </w:r>
      <w:r w:rsidRPr="001C09E3">
        <w:rPr>
          <w:rFonts w:ascii="Times New Roman" w:hAnsi="Times New Roman" w:cs="Times New Roman"/>
        </w:rPr>
        <w:t>oint will take advantage of restaurant and entertainment facilities. Many will utilize public transportation, increasing the demand for transportation services. The ability for companies to conduct business in the area will bring in visitors and investors.</w:t>
      </w:r>
    </w:p>
    <w:p w:rsidR="00D25889" w:rsidRPr="001C09E3" w:rsidRDefault="00D25889" w:rsidP="00D25889">
      <w:pPr>
        <w:rPr>
          <w:rFonts w:ascii="Times New Roman" w:hAnsi="Times New Roman" w:cs="Times New Roman"/>
        </w:rPr>
      </w:pPr>
      <w:r w:rsidRPr="001C09E3">
        <w:rPr>
          <w:rFonts w:ascii="Times New Roman" w:hAnsi="Times New Roman" w:cs="Times New Roman"/>
        </w:rPr>
        <w:t xml:space="preserve">The components of the project have changed significantly since the planning first began. Due to the current economic downturn, the original project was downsized and will be constructed in four phases. This will allow RCI Group to purchase the city-owned property in pieces, rather than as a whole. The benefit of purchasing the land in parts is that financing will be easier since lending has become </w:t>
      </w:r>
      <w:r w:rsidRPr="001C09E3">
        <w:rPr>
          <w:rFonts w:ascii="Times New Roman" w:hAnsi="Times New Roman" w:cs="Times New Roman"/>
        </w:rPr>
        <w:lastRenderedPageBreak/>
        <w:t xml:space="preserve">increasingly difficult. The first phase will involve constructing the marina and waterfront, in addition to approximately 140,000 square feet of retail space. Housing developments were originally meant to make up a big part of the project; however, this component will not begin construction until the market begins to improve. Originally, almost 4,000 condominiums and apartments were to be built. The most recent, scaled-down version </w:t>
      </w:r>
      <w:r w:rsidR="007201F3">
        <w:rPr>
          <w:rFonts w:ascii="Times New Roman" w:hAnsi="Times New Roman" w:cs="Times New Roman"/>
        </w:rPr>
        <w:t>has reduced that figure to</w:t>
      </w:r>
      <w:r w:rsidRPr="001C09E3">
        <w:rPr>
          <w:rFonts w:ascii="Times New Roman" w:hAnsi="Times New Roman" w:cs="Times New Roman"/>
        </w:rPr>
        <w:t xml:space="preserve"> 1,200</w:t>
      </w:r>
      <w:r w:rsidRPr="001C09E3">
        <w:rPr>
          <w:rStyle w:val="FootnoteReference"/>
          <w:rFonts w:ascii="Times New Roman" w:hAnsi="Times New Roman" w:cs="Times New Roman"/>
        </w:rPr>
        <w:footnoteReference w:id="12"/>
      </w:r>
      <w:r w:rsidRPr="001C09E3">
        <w:rPr>
          <w:rFonts w:ascii="Times New Roman" w:hAnsi="Times New Roman" w:cs="Times New Roman"/>
        </w:rPr>
        <w:t>. While development projects are investments, Steel</w:t>
      </w:r>
      <w:r w:rsidR="007201F3">
        <w:rPr>
          <w:rFonts w:ascii="Times New Roman" w:hAnsi="Times New Roman" w:cs="Times New Roman"/>
        </w:rPr>
        <w:t xml:space="preserve"> P</w:t>
      </w:r>
      <w:r w:rsidRPr="001C09E3">
        <w:rPr>
          <w:rFonts w:ascii="Times New Roman" w:hAnsi="Times New Roman" w:cs="Times New Roman"/>
        </w:rPr>
        <w:t xml:space="preserve">oint Harbor’s adjustments prove that the </w:t>
      </w:r>
      <w:r w:rsidR="007201F3">
        <w:rPr>
          <w:rFonts w:ascii="Times New Roman" w:hAnsi="Times New Roman" w:cs="Times New Roman"/>
        </w:rPr>
        <w:t xml:space="preserve">current </w:t>
      </w:r>
      <w:r w:rsidRPr="001C09E3">
        <w:rPr>
          <w:rFonts w:ascii="Times New Roman" w:hAnsi="Times New Roman" w:cs="Times New Roman"/>
        </w:rPr>
        <w:t>state of the economy plays a huge role in a project’s feasibility.</w:t>
      </w:r>
    </w:p>
    <w:p w:rsidR="00D25889" w:rsidRPr="001C09E3" w:rsidRDefault="00D25889" w:rsidP="00D25889">
      <w:pPr>
        <w:rPr>
          <w:rFonts w:ascii="Times New Roman" w:hAnsi="Times New Roman" w:cs="Times New Roman"/>
        </w:rPr>
      </w:pPr>
      <w:r w:rsidRPr="001C09E3">
        <w:rPr>
          <w:rFonts w:ascii="Times New Roman" w:hAnsi="Times New Roman" w:cs="Times New Roman"/>
        </w:rPr>
        <w:t>In comparison to other projects in Bridgeport, Steelpoint’s primary goal seems to be creating a public area that will keep people in the city. By revamping the city and developing commercial facilities, the city will be able to retain its inhabitants as well as attract visitors. This will create strong linkages between Steel</w:t>
      </w:r>
      <w:r w:rsidR="007201F3">
        <w:rPr>
          <w:rFonts w:ascii="Times New Roman" w:hAnsi="Times New Roman" w:cs="Times New Roman"/>
        </w:rPr>
        <w:t xml:space="preserve"> P</w:t>
      </w:r>
      <w:r w:rsidRPr="001C09E3">
        <w:rPr>
          <w:rFonts w:ascii="Times New Roman" w:hAnsi="Times New Roman" w:cs="Times New Roman"/>
        </w:rPr>
        <w:t xml:space="preserve">oint and the surrounding areas of Bridgeport since there will be a steady influx of people navigating between the regions. </w:t>
      </w:r>
      <w:r w:rsidR="007201F3">
        <w:rPr>
          <w:rFonts w:ascii="Times New Roman" w:hAnsi="Times New Roman" w:cs="Times New Roman"/>
        </w:rPr>
        <w:t>S</w:t>
      </w:r>
      <w:r w:rsidRPr="001C09E3">
        <w:rPr>
          <w:rFonts w:ascii="Times New Roman" w:hAnsi="Times New Roman" w:cs="Times New Roman"/>
        </w:rPr>
        <w:t>teel</w:t>
      </w:r>
      <w:r w:rsidR="007201F3">
        <w:rPr>
          <w:rFonts w:ascii="Times New Roman" w:hAnsi="Times New Roman" w:cs="Times New Roman"/>
        </w:rPr>
        <w:t xml:space="preserve"> P</w:t>
      </w:r>
      <w:r w:rsidRPr="001C09E3">
        <w:rPr>
          <w:rFonts w:ascii="Times New Roman" w:hAnsi="Times New Roman" w:cs="Times New Roman"/>
        </w:rPr>
        <w:t xml:space="preserve">oint is in a prime location. The land has direct access to I-95, </w:t>
      </w:r>
      <w:r w:rsidR="007201F3">
        <w:rPr>
          <w:rFonts w:ascii="Times New Roman" w:hAnsi="Times New Roman" w:cs="Times New Roman"/>
        </w:rPr>
        <w:t>and</w:t>
      </w:r>
      <w:r w:rsidRPr="001C09E3">
        <w:rPr>
          <w:rFonts w:ascii="Times New Roman" w:hAnsi="Times New Roman" w:cs="Times New Roman"/>
        </w:rPr>
        <w:t xml:space="preserve"> it is</w:t>
      </w:r>
      <w:r w:rsidR="007201F3">
        <w:rPr>
          <w:rFonts w:ascii="Times New Roman" w:hAnsi="Times New Roman" w:cs="Times New Roman"/>
        </w:rPr>
        <w:t xml:space="preserve"> within</w:t>
      </w:r>
      <w:r w:rsidRPr="001C09E3">
        <w:rPr>
          <w:rFonts w:ascii="Times New Roman" w:hAnsi="Times New Roman" w:cs="Times New Roman"/>
        </w:rPr>
        <w:t xml:space="preserve"> walking distance </w:t>
      </w:r>
      <w:r w:rsidR="007201F3">
        <w:rPr>
          <w:rFonts w:ascii="Times New Roman" w:hAnsi="Times New Roman" w:cs="Times New Roman"/>
        </w:rPr>
        <w:t>of</w:t>
      </w:r>
      <w:r w:rsidRPr="001C09E3">
        <w:rPr>
          <w:rFonts w:ascii="Times New Roman" w:hAnsi="Times New Roman" w:cs="Times New Roman"/>
        </w:rPr>
        <w:t xml:space="preserve"> downtown</w:t>
      </w:r>
      <w:r w:rsidR="007201F3">
        <w:rPr>
          <w:rFonts w:ascii="Times New Roman" w:hAnsi="Times New Roman" w:cs="Times New Roman"/>
        </w:rPr>
        <w:t>,</w:t>
      </w:r>
      <w:r w:rsidRPr="001C09E3">
        <w:rPr>
          <w:rFonts w:ascii="Times New Roman" w:hAnsi="Times New Roman" w:cs="Times New Roman"/>
        </w:rPr>
        <w:t xml:space="preserve"> the train station and ferry.</w:t>
      </w:r>
      <w:r w:rsidR="007201F3">
        <w:rPr>
          <w:rFonts w:ascii="Times New Roman" w:hAnsi="Times New Roman" w:cs="Times New Roman"/>
        </w:rPr>
        <w:t xml:space="preserve">  </w:t>
      </w:r>
      <w:r w:rsidRPr="001C09E3">
        <w:rPr>
          <w:rFonts w:ascii="Times New Roman" w:hAnsi="Times New Roman" w:cs="Times New Roman"/>
        </w:rPr>
        <w:t>A unique element of this development is its loop system for streetcars, which will connect to the Bridgeport Intermodal Transit Hub</w:t>
      </w:r>
      <w:r w:rsidRPr="001C09E3">
        <w:rPr>
          <w:rStyle w:val="FootnoteReference"/>
          <w:rFonts w:ascii="Times New Roman" w:hAnsi="Times New Roman" w:cs="Times New Roman"/>
        </w:rPr>
        <w:footnoteReference w:id="13"/>
      </w:r>
      <w:r w:rsidRPr="001C09E3">
        <w:rPr>
          <w:rFonts w:ascii="Times New Roman" w:hAnsi="Times New Roman" w:cs="Times New Roman"/>
        </w:rPr>
        <w:t>.</w:t>
      </w:r>
    </w:p>
    <w:p w:rsidR="00D25889" w:rsidRPr="001C09E3" w:rsidRDefault="00D25889" w:rsidP="00D25889">
      <w:pPr>
        <w:rPr>
          <w:rFonts w:ascii="Times New Roman" w:hAnsi="Times New Roman" w:cs="Times New Roman"/>
        </w:rPr>
      </w:pPr>
      <w:r w:rsidRPr="001C09E3">
        <w:rPr>
          <w:rFonts w:ascii="Times New Roman" w:hAnsi="Times New Roman" w:cs="Times New Roman"/>
        </w:rPr>
        <w:t>Another major point concerning the massive development is the obvious creation of jobs. In a time where unemployment rates have reached record highs, this may be the most beneficial component in the short-term. It is estimated</w:t>
      </w:r>
      <w:r w:rsidR="007201F3">
        <w:rPr>
          <w:rFonts w:ascii="Times New Roman" w:hAnsi="Times New Roman" w:cs="Times New Roman"/>
        </w:rPr>
        <w:t xml:space="preserve"> that the construction of Steel P</w:t>
      </w:r>
      <w:r w:rsidRPr="001C09E3">
        <w:rPr>
          <w:rFonts w:ascii="Times New Roman" w:hAnsi="Times New Roman" w:cs="Times New Roman"/>
        </w:rPr>
        <w:t>oint will create over 16,000 construction jobs. In addition, there will be about 9,000 permanent jobs after it is completed</w:t>
      </w:r>
      <w:r w:rsidRPr="001C09E3">
        <w:rPr>
          <w:rStyle w:val="FootnoteReference"/>
          <w:rFonts w:ascii="Times New Roman" w:hAnsi="Times New Roman" w:cs="Times New Roman"/>
        </w:rPr>
        <w:footnoteReference w:id="14"/>
      </w:r>
      <w:r w:rsidRPr="001C09E3">
        <w:rPr>
          <w:rFonts w:ascii="Times New Roman" w:hAnsi="Times New Roman" w:cs="Times New Roman"/>
        </w:rPr>
        <w:t>. Typical jobs will most likely include office and administrative workers, maintenance and grounds cleaning employees, accommodation and food service workers, and finance and insurance employees. Furthermore, the developers estimate about $25 million dollars to be generated in annual tax revenue. This growing tax base will help pay off the project in the long run.</w:t>
      </w:r>
    </w:p>
    <w:p w:rsidR="00D25889" w:rsidRPr="001C09E3" w:rsidRDefault="00D25889" w:rsidP="00D25889">
      <w:pPr>
        <w:rPr>
          <w:rFonts w:ascii="Times New Roman" w:hAnsi="Times New Roman" w:cs="Times New Roman"/>
        </w:rPr>
      </w:pPr>
      <w:r w:rsidRPr="001C09E3">
        <w:rPr>
          <w:rFonts w:ascii="Times New Roman" w:hAnsi="Times New Roman" w:cs="Times New Roman"/>
        </w:rPr>
        <w:tab/>
        <w:t>The project’s primary objective is focused around the community. Planners hope to ensue pride in the city of Bridgeport and create a development that will benefit all those exposed to it. Bridgeport’s image may improve, removing the stigma often associated with the city. Residents and visitors will have access to shopping, leisure, and entertainment facilities. However, certain community members have spoken out against the housing component of the plan. Many have expressed outrage over the minimal communication about their desires and demands, namely the lack of enough affordable housing available. The developers are using the regional median income, which is much higher than Bridgeport’s median income, resulting in fewer affordable units being built</w:t>
      </w:r>
      <w:r w:rsidRPr="001C09E3">
        <w:rPr>
          <w:rStyle w:val="FootnoteReference"/>
          <w:rFonts w:ascii="Times New Roman" w:hAnsi="Times New Roman" w:cs="Times New Roman"/>
        </w:rPr>
        <w:footnoteReference w:id="15"/>
      </w:r>
      <w:r w:rsidRPr="001C09E3">
        <w:rPr>
          <w:rFonts w:ascii="Times New Roman" w:hAnsi="Times New Roman" w:cs="Times New Roman"/>
        </w:rPr>
        <w:t>. Some middle ground must be found on this issue in order to have the community’s support in the largest development project to date.</w:t>
      </w:r>
    </w:p>
    <w:p w:rsidR="00D25889" w:rsidRPr="001C09E3" w:rsidRDefault="00D25889" w:rsidP="00D25889">
      <w:pPr>
        <w:rPr>
          <w:rFonts w:ascii="Times New Roman" w:hAnsi="Times New Roman" w:cs="Times New Roman"/>
        </w:rPr>
      </w:pPr>
      <w:r w:rsidRPr="001C09E3">
        <w:rPr>
          <w:rFonts w:ascii="Times New Roman" w:hAnsi="Times New Roman" w:cs="Times New Roman"/>
        </w:rPr>
        <w:t>Steel</w:t>
      </w:r>
      <w:r w:rsidR="00050F10">
        <w:rPr>
          <w:rFonts w:ascii="Times New Roman" w:hAnsi="Times New Roman" w:cs="Times New Roman"/>
        </w:rPr>
        <w:t xml:space="preserve"> P</w:t>
      </w:r>
      <w:r w:rsidRPr="001C09E3">
        <w:rPr>
          <w:rFonts w:ascii="Times New Roman" w:hAnsi="Times New Roman" w:cs="Times New Roman"/>
        </w:rPr>
        <w:t xml:space="preserve">oint Harbor proves to be the best attempt in history to refurbish Bridgeport’s image, community, and economy. Developers hope that this will serve as a catalyst that will inevitably lead to future investments, projects, and economic growth. It will most likely become a necessary growth pole that will bring in a large number of people and external dollars. This economic rise will result in spillovers to </w:t>
      </w:r>
      <w:r w:rsidRPr="001C09E3">
        <w:rPr>
          <w:rFonts w:ascii="Times New Roman" w:hAnsi="Times New Roman" w:cs="Times New Roman"/>
        </w:rPr>
        <w:lastRenderedPageBreak/>
        <w:t>surrounding cities, benefiting the people and economy of Bridgeport. Lastly, the number of employment opportunities will increase drastically at a time when it is needed the most.</w:t>
      </w:r>
    </w:p>
    <w:p w:rsidR="00D25889" w:rsidRPr="001C09E3" w:rsidRDefault="00D25889" w:rsidP="0038032A">
      <w:pPr>
        <w:widowControl w:val="0"/>
        <w:autoSpaceDE w:val="0"/>
        <w:autoSpaceDN w:val="0"/>
        <w:adjustRightInd w:val="0"/>
        <w:rPr>
          <w:rFonts w:ascii="Times New Roman" w:hAnsi="Times New Roman" w:cs="Times New Roman"/>
          <w:color w:val="262626"/>
        </w:rPr>
      </w:pPr>
      <w:r w:rsidRPr="001C09E3">
        <w:rPr>
          <w:rFonts w:ascii="Times New Roman" w:hAnsi="Times New Roman" w:cs="Times New Roman"/>
          <w:szCs w:val="32"/>
        </w:rPr>
        <w:t xml:space="preserve">Growth poles are able to transform depressed or developing areas into a successful geographic entity that recreates city structure and encourages growth in population. Through the use of linkages, innovation, and the potential for self-sustaining growth, areas such as Adriaen’s Landing and Steel Point have the ability to transform </w:t>
      </w:r>
      <w:r w:rsidR="00050F10">
        <w:rPr>
          <w:rFonts w:ascii="Times New Roman" w:hAnsi="Times New Roman" w:cs="Times New Roman"/>
          <w:szCs w:val="32"/>
        </w:rPr>
        <w:t xml:space="preserve">troubled urban zones into </w:t>
      </w:r>
      <w:r w:rsidRPr="001C09E3">
        <w:rPr>
          <w:rFonts w:ascii="Times New Roman" w:hAnsi="Times New Roman" w:cs="Times New Roman"/>
          <w:szCs w:val="32"/>
        </w:rPr>
        <w:t>prosperous area of economic activity.</w:t>
      </w:r>
    </w:p>
    <w:p w:rsidR="00D626E9" w:rsidRPr="00D626E9" w:rsidRDefault="00D626E9" w:rsidP="008A67A4">
      <w:pPr>
        <w:pStyle w:val="NoSpacing"/>
        <w:rPr>
          <w:rFonts w:ascii="Times New Roman" w:hAnsi="Times New Roman" w:cs="Times New Roman"/>
          <w:b/>
          <w:sz w:val="24"/>
          <w:szCs w:val="24"/>
        </w:rPr>
      </w:pPr>
      <w:r>
        <w:rPr>
          <w:rFonts w:ascii="Times New Roman" w:hAnsi="Times New Roman" w:cs="Times New Roman"/>
          <w:b/>
          <w:sz w:val="24"/>
          <w:szCs w:val="24"/>
        </w:rPr>
        <w:t>Industrial Specialization and Job Creation</w:t>
      </w:r>
    </w:p>
    <w:p w:rsidR="00D626E9" w:rsidRDefault="00D626E9" w:rsidP="008A67A4">
      <w:pPr>
        <w:pStyle w:val="NoSpacing"/>
        <w:rPr>
          <w:rFonts w:ascii="Times New Roman" w:hAnsi="Times New Roman" w:cs="Times New Roman"/>
          <w:sz w:val="24"/>
          <w:szCs w:val="24"/>
        </w:rPr>
      </w:pPr>
    </w:p>
    <w:p w:rsidR="00333887" w:rsidRPr="00BE7FB0" w:rsidRDefault="00333887" w:rsidP="008A67A4">
      <w:pPr>
        <w:pStyle w:val="NoSpacing"/>
        <w:rPr>
          <w:rFonts w:ascii="Times New Roman" w:hAnsi="Times New Roman" w:cs="Times New Roman"/>
        </w:rPr>
      </w:pPr>
      <w:r w:rsidRPr="00BE7FB0">
        <w:rPr>
          <w:rFonts w:ascii="Times New Roman" w:hAnsi="Times New Roman" w:cs="Times New Roman"/>
        </w:rPr>
        <w:t xml:space="preserve">Traditionally, Connecticut’s economy has stood on the following legs: financial services, insurance, </w:t>
      </w:r>
      <w:r w:rsidR="008A67A4" w:rsidRPr="00BE7FB0">
        <w:rPr>
          <w:rFonts w:ascii="Times New Roman" w:hAnsi="Times New Roman" w:cs="Times New Roman"/>
        </w:rPr>
        <w:t>private and public institutions of higher learning</w:t>
      </w:r>
      <w:r w:rsidRPr="00BE7FB0">
        <w:rPr>
          <w:rFonts w:ascii="Times New Roman" w:hAnsi="Times New Roman" w:cs="Times New Roman"/>
        </w:rPr>
        <w:t xml:space="preserve"> (</w:t>
      </w:r>
      <w:r w:rsidR="008A67A4" w:rsidRPr="00BE7FB0">
        <w:rPr>
          <w:rFonts w:ascii="Times New Roman" w:hAnsi="Times New Roman" w:cs="Times New Roman"/>
        </w:rPr>
        <w:t xml:space="preserve">particularly </w:t>
      </w:r>
      <w:r w:rsidRPr="00BE7FB0">
        <w:rPr>
          <w:rFonts w:ascii="Times New Roman" w:hAnsi="Times New Roman" w:cs="Times New Roman"/>
        </w:rPr>
        <w:t>the University of Connecticut</w:t>
      </w:r>
      <w:r w:rsidR="008A67A4" w:rsidRPr="00BE7FB0">
        <w:rPr>
          <w:rFonts w:ascii="Times New Roman" w:hAnsi="Times New Roman" w:cs="Times New Roman"/>
        </w:rPr>
        <w:t xml:space="preserve"> and its branch campuses</w:t>
      </w:r>
      <w:r w:rsidRPr="00BE7FB0">
        <w:rPr>
          <w:rFonts w:ascii="Times New Roman" w:hAnsi="Times New Roman" w:cs="Times New Roman"/>
        </w:rPr>
        <w:t xml:space="preserve">), health care, GE (their corporate headquarters is in Fairfield), Pratt and Whitney, and Sikorsky.  </w:t>
      </w:r>
      <w:r w:rsidR="008A67A4" w:rsidRPr="00BE7FB0">
        <w:rPr>
          <w:rFonts w:ascii="Times New Roman" w:hAnsi="Times New Roman" w:cs="Times New Roman"/>
        </w:rPr>
        <w:t>I</w:t>
      </w:r>
      <w:r w:rsidRPr="00BE7FB0">
        <w:rPr>
          <w:rFonts w:ascii="Times New Roman" w:hAnsi="Times New Roman" w:cs="Times New Roman"/>
        </w:rPr>
        <w:t xml:space="preserve">t is clear that Connecticut </w:t>
      </w:r>
      <w:r w:rsidR="008A67A4" w:rsidRPr="00BE7FB0">
        <w:rPr>
          <w:rFonts w:ascii="Times New Roman" w:hAnsi="Times New Roman" w:cs="Times New Roman"/>
        </w:rPr>
        <w:t>relies</w:t>
      </w:r>
      <w:r w:rsidRPr="00BE7FB0">
        <w:rPr>
          <w:rFonts w:ascii="Times New Roman" w:hAnsi="Times New Roman" w:cs="Times New Roman"/>
        </w:rPr>
        <w:t xml:space="preserve"> </w:t>
      </w:r>
      <w:r w:rsidR="008A67A4" w:rsidRPr="00BE7FB0">
        <w:rPr>
          <w:rFonts w:ascii="Times New Roman" w:hAnsi="Times New Roman" w:cs="Times New Roman"/>
        </w:rPr>
        <w:t xml:space="preserve">on </w:t>
      </w:r>
      <w:r w:rsidRPr="00BE7FB0">
        <w:rPr>
          <w:rFonts w:ascii="Times New Roman" w:hAnsi="Times New Roman" w:cs="Times New Roman"/>
        </w:rPr>
        <w:t>the transportation and defense industr</w:t>
      </w:r>
      <w:r w:rsidR="008A67A4" w:rsidRPr="00BE7FB0">
        <w:rPr>
          <w:rFonts w:ascii="Times New Roman" w:hAnsi="Times New Roman" w:cs="Times New Roman"/>
        </w:rPr>
        <w:t>ies</w:t>
      </w:r>
      <w:r w:rsidRPr="00BE7FB0">
        <w:rPr>
          <w:rFonts w:ascii="Times New Roman" w:hAnsi="Times New Roman" w:cs="Times New Roman"/>
        </w:rPr>
        <w:t xml:space="preserve">, as well as </w:t>
      </w:r>
      <w:r w:rsidR="008A67A4" w:rsidRPr="00BE7FB0">
        <w:rPr>
          <w:rFonts w:ascii="Times New Roman" w:hAnsi="Times New Roman" w:cs="Times New Roman"/>
        </w:rPr>
        <w:t>sectors</w:t>
      </w:r>
      <w:r w:rsidRPr="00BE7FB0">
        <w:rPr>
          <w:rFonts w:ascii="Times New Roman" w:hAnsi="Times New Roman" w:cs="Times New Roman"/>
        </w:rPr>
        <w:t xml:space="preserve"> whose strengths and weaknesses are correlated to business cycle fluctuations.  Connecticut has been trying to establish new sectors to </w:t>
      </w:r>
      <w:r w:rsidR="008A67A4" w:rsidRPr="00BE7FB0">
        <w:rPr>
          <w:rFonts w:ascii="Times New Roman" w:hAnsi="Times New Roman" w:cs="Times New Roman"/>
        </w:rPr>
        <w:t>supplement these key businesses</w:t>
      </w:r>
      <w:r w:rsidRPr="00BE7FB0">
        <w:rPr>
          <w:rFonts w:ascii="Times New Roman" w:hAnsi="Times New Roman" w:cs="Times New Roman"/>
        </w:rPr>
        <w:t xml:space="preserve">.  Some strategies Connecticut has not considered include the creation of technology corridors and the growth of export-intensive sectors.  After the filming of “Revolutionary Road” in Connecticut, the state has been dubbed “movie-making East,” thus making it the potential home of a movie-making corridor; this would include subsidies, studios, and many jobs for the state of Connecticut.  </w:t>
      </w:r>
    </w:p>
    <w:p w:rsidR="00333887" w:rsidRPr="00BE7FB0" w:rsidRDefault="00333887" w:rsidP="00333887">
      <w:pPr>
        <w:pStyle w:val="NoSpacing"/>
        <w:spacing w:line="360" w:lineRule="auto"/>
        <w:rPr>
          <w:rFonts w:ascii="Times New Roman" w:hAnsi="Times New Roman" w:cs="Times New Roman"/>
        </w:rPr>
      </w:pPr>
    </w:p>
    <w:p w:rsidR="00333887" w:rsidRPr="00BE7FB0" w:rsidRDefault="00333887" w:rsidP="008A67A4">
      <w:pPr>
        <w:pStyle w:val="NoSpacing"/>
        <w:rPr>
          <w:rFonts w:ascii="Times New Roman" w:hAnsi="Times New Roman" w:cs="Times New Roman"/>
        </w:rPr>
      </w:pPr>
      <w:r w:rsidRPr="00BE7FB0">
        <w:rPr>
          <w:rFonts w:ascii="Times New Roman" w:hAnsi="Times New Roman" w:cs="Times New Roman"/>
        </w:rPr>
        <w:t xml:space="preserve">Technology corridors, which are a type of Enterprise Zones, have </w:t>
      </w:r>
      <w:r w:rsidR="008A67A4" w:rsidRPr="00BE7FB0">
        <w:rPr>
          <w:rFonts w:ascii="Times New Roman" w:hAnsi="Times New Roman" w:cs="Times New Roman"/>
        </w:rPr>
        <w:t>not been used</w:t>
      </w:r>
      <w:r w:rsidRPr="00BE7FB0">
        <w:rPr>
          <w:rFonts w:ascii="Times New Roman" w:hAnsi="Times New Roman" w:cs="Times New Roman"/>
        </w:rPr>
        <w:t xml:space="preserve"> by Connecticut.  They are meant to link existing strengths with planned future development.  Technology corridors include studies and projects in bio-tech, bio-science, protein sciences, and computers.  An example of a very successful technology corridor is Massachusetts </w:t>
      </w:r>
      <w:r w:rsidR="008A67A4" w:rsidRPr="00BE7FB0">
        <w:rPr>
          <w:rFonts w:ascii="Times New Roman" w:hAnsi="Times New Roman" w:cs="Times New Roman"/>
        </w:rPr>
        <w:t xml:space="preserve">is </w:t>
      </w:r>
      <w:r w:rsidRPr="00BE7FB0">
        <w:rPr>
          <w:rFonts w:ascii="Times New Roman" w:hAnsi="Times New Roman" w:cs="Times New Roman"/>
        </w:rPr>
        <w:t xml:space="preserve">Route 128.  The highway was built in the late 1920s, and it gained significance after the emergence of the high-tech industry in the 1970s, and 1980s.  By including technology planning with economic planning, states are “mounting full-blown strategic campaigns to refashion their local economies in a high-tech mode” in order to achieve economic growth (Muniak).  Technology corridor initiatives emerged in the 1990s as “a new kind of grassroots industrial policy, differentiated in its target from earlier urban economic development approaches” (Muniak).  Technology corridors </w:t>
      </w:r>
      <w:r w:rsidR="008A67A4" w:rsidRPr="00BE7FB0">
        <w:rPr>
          <w:rFonts w:ascii="Times New Roman" w:hAnsi="Times New Roman" w:cs="Times New Roman"/>
        </w:rPr>
        <w:t>can be</w:t>
      </w:r>
      <w:r w:rsidRPr="00BE7FB0">
        <w:rPr>
          <w:rFonts w:ascii="Times New Roman" w:hAnsi="Times New Roman" w:cs="Times New Roman"/>
        </w:rPr>
        <w:t xml:space="preserve"> </w:t>
      </w:r>
      <w:r w:rsidR="008A67A4" w:rsidRPr="00BE7FB0">
        <w:rPr>
          <w:rFonts w:ascii="Times New Roman" w:hAnsi="Times New Roman" w:cs="Times New Roman"/>
        </w:rPr>
        <w:t>important development tools</w:t>
      </w:r>
      <w:r w:rsidRPr="00BE7FB0">
        <w:rPr>
          <w:rFonts w:ascii="Times New Roman" w:hAnsi="Times New Roman" w:cs="Times New Roman"/>
        </w:rPr>
        <w:t xml:space="preserve">, </w:t>
      </w:r>
      <w:r w:rsidR="008A67A4" w:rsidRPr="00BE7FB0">
        <w:rPr>
          <w:rFonts w:ascii="Times New Roman" w:hAnsi="Times New Roman" w:cs="Times New Roman"/>
        </w:rPr>
        <w:t>and</w:t>
      </w:r>
      <w:r w:rsidRPr="00BE7FB0">
        <w:rPr>
          <w:rFonts w:ascii="Times New Roman" w:hAnsi="Times New Roman" w:cs="Times New Roman"/>
        </w:rPr>
        <w:t xml:space="preserve"> there are many notable ones across the country.  The city of Harrisburg, Pennsylvania offered low-interest loans, tax credits, and other developmental programs.  Harrisburg, Pennsylvania and Massachusetts Route 128 in Boston are just two examples of how cities can “seek to emulate the 'boom' experiences of the nation's vanguard centers of high technology industry” (Muniak).</w:t>
      </w:r>
    </w:p>
    <w:p w:rsidR="00333887" w:rsidRPr="00BE7FB0" w:rsidRDefault="00333887" w:rsidP="00333887">
      <w:pPr>
        <w:pStyle w:val="NoSpacing"/>
        <w:spacing w:line="360" w:lineRule="auto"/>
        <w:rPr>
          <w:rFonts w:ascii="Times New Roman" w:hAnsi="Times New Roman" w:cs="Times New Roman"/>
        </w:rPr>
      </w:pPr>
    </w:p>
    <w:p w:rsidR="00333887" w:rsidRPr="00BE7FB0" w:rsidRDefault="00333887" w:rsidP="008A67A4">
      <w:pPr>
        <w:pStyle w:val="NoSpacing"/>
        <w:rPr>
          <w:rFonts w:ascii="Times New Roman" w:hAnsi="Times New Roman" w:cs="Times New Roman"/>
        </w:rPr>
      </w:pPr>
      <w:r w:rsidRPr="00BE7FB0">
        <w:rPr>
          <w:rFonts w:ascii="Times New Roman" w:hAnsi="Times New Roman" w:cs="Times New Roman"/>
        </w:rPr>
        <w:t>Connecticut has also focused in on the creation growth clusters.  Growth clusters enable the state to push jobs towards certain sectors or industries.  The aerospace industry, an old economic leg, is being promoted as a growth cluster, but without the military label and component attached to it.  Seeing as how Connecticut is home to the NASDAQ, it is also promoting jobs in software and information technology to create economic growth.  Given the spill-overs from the recent financial crisis, the state faces the tough task of propping up firms in the financial services and insurance sectors that have suffered set-backs in the last year a</w:t>
      </w:r>
      <w:r w:rsidR="008A67A4" w:rsidRPr="00BE7FB0">
        <w:rPr>
          <w:rFonts w:ascii="Times New Roman" w:hAnsi="Times New Roman" w:cs="Times New Roman"/>
        </w:rPr>
        <w:t>nd a half or so.  Bio-sciences</w:t>
      </w:r>
      <w:r w:rsidRPr="00BE7FB0">
        <w:rPr>
          <w:rFonts w:ascii="Times New Roman" w:hAnsi="Times New Roman" w:cs="Times New Roman"/>
        </w:rPr>
        <w:t xml:space="preserve"> and other research corridors have been proposed as growth clusters that will look to establish new legs for the state to stand on.  </w:t>
      </w:r>
    </w:p>
    <w:p w:rsidR="00333887" w:rsidRPr="00BE7FB0" w:rsidRDefault="00333887" w:rsidP="00333887">
      <w:pPr>
        <w:pStyle w:val="NoSpacing"/>
        <w:spacing w:line="360" w:lineRule="auto"/>
        <w:rPr>
          <w:rFonts w:ascii="Times New Roman" w:hAnsi="Times New Roman" w:cs="Times New Roman"/>
        </w:rPr>
      </w:pPr>
    </w:p>
    <w:p w:rsidR="00333887" w:rsidRPr="00BE7FB0" w:rsidRDefault="00333887" w:rsidP="009909E5">
      <w:pPr>
        <w:pStyle w:val="NoSpacing"/>
        <w:rPr>
          <w:rFonts w:ascii="Times New Roman" w:hAnsi="Times New Roman" w:cs="Times New Roman"/>
        </w:rPr>
      </w:pPr>
      <w:r w:rsidRPr="00BE7FB0">
        <w:rPr>
          <w:rFonts w:ascii="Times New Roman" w:hAnsi="Times New Roman" w:cs="Times New Roman"/>
        </w:rPr>
        <w:t>Moving forward,</w:t>
      </w:r>
      <w:r w:rsidR="008A67A4" w:rsidRPr="00BE7FB0">
        <w:rPr>
          <w:rFonts w:ascii="Times New Roman" w:hAnsi="Times New Roman" w:cs="Times New Roman"/>
        </w:rPr>
        <w:t xml:space="preserve"> </w:t>
      </w:r>
      <w:r w:rsidRPr="00BE7FB0">
        <w:rPr>
          <w:rFonts w:ascii="Times New Roman" w:hAnsi="Times New Roman" w:cs="Times New Roman"/>
        </w:rPr>
        <w:t>Connecticut</w:t>
      </w:r>
      <w:r w:rsidR="008A67A4" w:rsidRPr="00BE7FB0">
        <w:rPr>
          <w:rFonts w:ascii="Times New Roman" w:hAnsi="Times New Roman" w:cs="Times New Roman"/>
        </w:rPr>
        <w:t xml:space="preserve"> would benefit from a focus </w:t>
      </w:r>
      <w:r w:rsidRPr="00BE7FB0">
        <w:rPr>
          <w:rFonts w:ascii="Times New Roman" w:hAnsi="Times New Roman" w:cs="Times New Roman"/>
        </w:rPr>
        <w:t xml:space="preserve"> on export-intensive sectors like air and transportation equipment, computers, and machinery.  These sectors make up a majority of the state’s exports, but these sectors account for only roughly 5 percent of Connecticut’s GDP.  Connecticut must also utilize its wealth more effectively.  The state must advertise tourism, as well as encourage graduates </w:t>
      </w:r>
      <w:r w:rsidRPr="00BE7FB0">
        <w:rPr>
          <w:rFonts w:ascii="Times New Roman" w:hAnsi="Times New Roman" w:cs="Times New Roman"/>
        </w:rPr>
        <w:lastRenderedPageBreak/>
        <w:t>of schools like the University of Connecticut to stay in-state, and subsequently boost the state’s commerce and capital.</w:t>
      </w:r>
    </w:p>
    <w:p w:rsidR="00333887" w:rsidRPr="00BE7FB0" w:rsidRDefault="00333887" w:rsidP="009909E5">
      <w:pPr>
        <w:pStyle w:val="NoSpacing"/>
        <w:rPr>
          <w:rFonts w:ascii="Times New Roman" w:hAnsi="Times New Roman" w:cs="Times New Roman"/>
        </w:rPr>
      </w:pPr>
    </w:p>
    <w:p w:rsidR="00333887" w:rsidRPr="00BE7FB0" w:rsidRDefault="00333887" w:rsidP="00BE7FB0">
      <w:pPr>
        <w:pStyle w:val="NoSpacing"/>
        <w:spacing w:line="360" w:lineRule="auto"/>
        <w:rPr>
          <w:rFonts w:ascii="Times New Roman" w:hAnsi="Times New Roman" w:cs="Times New Roman"/>
        </w:rPr>
      </w:pPr>
      <w:r w:rsidRPr="00BE7FB0">
        <w:rPr>
          <w:rFonts w:ascii="Times New Roman" w:hAnsi="Times New Roman" w:cs="Times New Roman"/>
          <w:b/>
          <w:bCs/>
        </w:rPr>
        <w:t>Works Cited</w:t>
      </w:r>
    </w:p>
    <w:p w:rsidR="00333887" w:rsidRPr="00BE7FB0" w:rsidRDefault="00333887" w:rsidP="00333887">
      <w:pPr>
        <w:pStyle w:val="NoSpacing"/>
        <w:spacing w:line="360" w:lineRule="auto"/>
        <w:ind w:left="720" w:hanging="720"/>
        <w:rPr>
          <w:rStyle w:val="citation"/>
          <w:rFonts w:ascii="Times New Roman" w:hAnsi="Times New Roman" w:cs="Times New Roman"/>
        </w:rPr>
      </w:pPr>
    </w:p>
    <w:p w:rsidR="00333887" w:rsidRPr="00BE7FB0" w:rsidRDefault="00333887" w:rsidP="009909E5">
      <w:pPr>
        <w:pStyle w:val="NoSpacing"/>
        <w:ind w:left="720" w:hanging="720"/>
        <w:rPr>
          <w:rStyle w:val="citation"/>
          <w:rFonts w:ascii="Times New Roman" w:hAnsi="Times New Roman" w:cs="Times New Roman"/>
        </w:rPr>
      </w:pPr>
      <w:r w:rsidRPr="00BE7FB0">
        <w:rPr>
          <w:rStyle w:val="citation"/>
          <w:rFonts w:ascii="Times New Roman" w:hAnsi="Times New Roman" w:cs="Times New Roman"/>
        </w:rPr>
        <w:t>Connecticut Recovery Initiative</w:t>
      </w:r>
    </w:p>
    <w:p w:rsidR="00333887" w:rsidRPr="00BE7FB0" w:rsidRDefault="00333887" w:rsidP="009909E5">
      <w:pPr>
        <w:pStyle w:val="NoSpacing"/>
        <w:ind w:left="720" w:hanging="720"/>
        <w:rPr>
          <w:rStyle w:val="citation"/>
          <w:rFonts w:ascii="Times New Roman" w:hAnsi="Times New Roman" w:cs="Times New Roman"/>
        </w:rPr>
      </w:pPr>
      <w:r w:rsidRPr="00BE7FB0">
        <w:rPr>
          <w:rStyle w:val="citation"/>
          <w:rFonts w:ascii="Times New Roman" w:hAnsi="Times New Roman" w:cs="Times New Roman"/>
        </w:rPr>
        <w:tab/>
        <w:t>&lt;http://www.recovery.ct.gov/recovery/site/default.asp&gt;</w:t>
      </w:r>
    </w:p>
    <w:p w:rsidR="00333887" w:rsidRPr="00BE7FB0" w:rsidRDefault="00333887" w:rsidP="009909E5">
      <w:pPr>
        <w:pStyle w:val="NoSpacing"/>
        <w:ind w:left="720" w:hanging="720"/>
        <w:rPr>
          <w:rStyle w:val="citation"/>
          <w:rFonts w:ascii="Times New Roman" w:hAnsi="Times New Roman" w:cs="Times New Roman"/>
        </w:rPr>
      </w:pPr>
    </w:p>
    <w:p w:rsidR="00333887" w:rsidRPr="00BE7FB0" w:rsidRDefault="00333887" w:rsidP="009909E5">
      <w:pPr>
        <w:pStyle w:val="NoSpacing"/>
        <w:ind w:left="720" w:hanging="720"/>
        <w:rPr>
          <w:rStyle w:val="citation"/>
          <w:rFonts w:ascii="Times New Roman" w:hAnsi="Times New Roman" w:cs="Times New Roman"/>
        </w:rPr>
      </w:pPr>
      <w:r w:rsidRPr="00BE7FB0">
        <w:rPr>
          <w:rStyle w:val="citation"/>
          <w:rFonts w:ascii="Times New Roman" w:hAnsi="Times New Roman" w:cs="Times New Roman"/>
        </w:rPr>
        <w:t xml:space="preserve">Muniak, Dennis C. "Economic development, national high technology policy and America's cities." </w:t>
      </w:r>
      <w:r w:rsidRPr="00BE7FB0">
        <w:rPr>
          <w:rStyle w:val="citation"/>
          <w:rFonts w:ascii="Times New Roman" w:hAnsi="Times New Roman" w:cs="Times New Roman"/>
          <w:i/>
          <w:iCs/>
        </w:rPr>
        <w:t>Regional Studies</w:t>
      </w:r>
      <w:r w:rsidRPr="00BE7FB0">
        <w:rPr>
          <w:rStyle w:val="citation"/>
          <w:rFonts w:ascii="Times New Roman" w:hAnsi="Times New Roman" w:cs="Times New Roman"/>
        </w:rPr>
        <w:t xml:space="preserve"> 28.8 (1994): 803+. Web. 14 Dec. 2009. &lt;http://find.galegroup.com/gtx/start.do?prodId=EAIM&amp;userGroupName=a04fu&gt;.</w:t>
      </w:r>
    </w:p>
    <w:p w:rsidR="00333887" w:rsidRPr="00BE7FB0" w:rsidRDefault="00333887" w:rsidP="009909E5">
      <w:pPr>
        <w:pStyle w:val="NoSpacing"/>
        <w:ind w:left="720" w:hanging="720"/>
        <w:rPr>
          <w:rStyle w:val="citation"/>
        </w:rPr>
      </w:pPr>
    </w:p>
    <w:p w:rsidR="00F734BB" w:rsidRPr="00BE7FB0" w:rsidRDefault="00F734BB" w:rsidP="00BA77F7"/>
    <w:sectPr w:rsidR="00F734BB" w:rsidRPr="00BE7FB0" w:rsidSect="0034699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6BD" w:rsidRDefault="008646BD" w:rsidP="00FE4C37">
      <w:pPr>
        <w:spacing w:after="0" w:line="240" w:lineRule="auto"/>
      </w:pPr>
      <w:r>
        <w:separator/>
      </w:r>
    </w:p>
  </w:endnote>
  <w:endnote w:type="continuationSeparator" w:id="0">
    <w:p w:rsidR="008646BD" w:rsidRDefault="008646BD" w:rsidP="00FE4C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6BD" w:rsidRDefault="008646BD" w:rsidP="00FE4C37">
      <w:pPr>
        <w:spacing w:after="0" w:line="240" w:lineRule="auto"/>
      </w:pPr>
      <w:r>
        <w:separator/>
      </w:r>
    </w:p>
  </w:footnote>
  <w:footnote w:type="continuationSeparator" w:id="0">
    <w:p w:rsidR="008646BD" w:rsidRDefault="008646BD" w:rsidP="00FE4C37">
      <w:pPr>
        <w:spacing w:after="0" w:line="240" w:lineRule="auto"/>
      </w:pPr>
      <w:r>
        <w:continuationSeparator/>
      </w:r>
    </w:p>
  </w:footnote>
  <w:footnote w:id="1">
    <w:p w:rsidR="008D231C" w:rsidRDefault="008D231C" w:rsidP="00FE4C37">
      <w:pPr>
        <w:pStyle w:val="FootnoteText"/>
      </w:pPr>
      <w:r w:rsidRPr="0070160A">
        <w:rPr>
          <w:rStyle w:val="FootnoteReference"/>
        </w:rPr>
        <w:sym w:font="Symbol" w:char="F02A"/>
      </w:r>
      <w:r>
        <w:t xml:space="preserve"> These numbers are not seasonally adjusted.</w:t>
      </w:r>
    </w:p>
  </w:footnote>
  <w:footnote w:id="2">
    <w:p w:rsidR="008D231C" w:rsidRPr="00061A18" w:rsidRDefault="008D231C" w:rsidP="00FE4C37">
      <w:pPr>
        <w:pStyle w:val="FootnoteText"/>
      </w:pPr>
      <w:r w:rsidRPr="00061A18">
        <w:rPr>
          <w:rStyle w:val="FootnoteReference"/>
        </w:rPr>
        <w:sym w:font="Symbol" w:char="F02A"/>
      </w:r>
      <w:r>
        <w:t xml:space="preserve"> </w:t>
      </w:r>
      <w:r w:rsidRPr="00061A18">
        <w:t xml:space="preserve">It should be noted that the Norwich-New London LMA also encompasses several towns in the state of </w:t>
      </w:r>
      <w:smartTag w:uri="urn:schemas-microsoft-com:office:smarttags" w:element="place">
        <w:smartTag w:uri="urn:schemas-microsoft-com:office:smarttags" w:element="State">
          <w:r w:rsidRPr="00061A18">
            <w:t>Rhode Island</w:t>
          </w:r>
        </w:smartTag>
      </w:smartTag>
      <w:r w:rsidRPr="00061A18">
        <w:t>, which were excluded from this report.</w:t>
      </w:r>
    </w:p>
    <w:p w:rsidR="008D231C" w:rsidRDefault="008D231C" w:rsidP="00FE4C37">
      <w:pPr>
        <w:pStyle w:val="FootnoteText"/>
      </w:pPr>
    </w:p>
  </w:footnote>
  <w:footnote w:id="3">
    <w:p w:rsidR="008D231C" w:rsidRPr="0023200C" w:rsidRDefault="008D231C" w:rsidP="00D25889">
      <w:pPr>
        <w:pStyle w:val="FootnoteText"/>
      </w:pPr>
      <w:r w:rsidRPr="0023200C">
        <w:rPr>
          <w:rStyle w:val="FootnoteReference"/>
        </w:rPr>
        <w:footnoteRef/>
      </w:r>
      <w:r w:rsidRPr="0023200C">
        <w:t xml:space="preserve"> </w:t>
      </w:r>
      <w:r w:rsidRPr="0023200C">
        <w:rPr>
          <w:rFonts w:ascii="Times New Roman" w:hAnsi="Times New Roman"/>
          <w:szCs w:val="32"/>
        </w:rPr>
        <w:t xml:space="preserve">"Adriaen's Landing." </w:t>
      </w:r>
      <w:r w:rsidRPr="0023200C">
        <w:rPr>
          <w:rFonts w:ascii="Times New Roman" w:hAnsi="Times New Roman"/>
          <w:i/>
          <w:iCs/>
          <w:szCs w:val="32"/>
        </w:rPr>
        <w:t>Hartford History</w:t>
      </w:r>
      <w:r w:rsidRPr="0023200C">
        <w:rPr>
          <w:rFonts w:ascii="Times New Roman" w:hAnsi="Times New Roman"/>
          <w:szCs w:val="32"/>
        </w:rPr>
        <w:t>. Web. 4 Dec. 2009. &lt;http://www.hartfordhistory.net/adriaen.html&gt;.</w:t>
      </w:r>
    </w:p>
  </w:footnote>
  <w:footnote w:id="4">
    <w:p w:rsidR="008D231C" w:rsidRPr="00CB1AE8" w:rsidRDefault="008D231C" w:rsidP="00D626E9">
      <w:pPr>
        <w:widowControl w:val="0"/>
        <w:autoSpaceDE w:val="0"/>
        <w:autoSpaceDN w:val="0"/>
        <w:adjustRightInd w:val="0"/>
        <w:spacing w:line="240" w:lineRule="auto"/>
        <w:rPr>
          <w:rFonts w:ascii="Times New Roman" w:hAnsi="Times New Roman" w:cs="Times New Roman"/>
          <w:sz w:val="20"/>
          <w:szCs w:val="32"/>
        </w:rPr>
      </w:pPr>
      <w:r w:rsidRPr="00F24D99">
        <w:rPr>
          <w:rStyle w:val="FootnoteReference"/>
          <w:rFonts w:ascii="Times New Roman" w:hAnsi="Times New Roman"/>
          <w:sz w:val="20"/>
        </w:rPr>
        <w:footnoteRef/>
      </w:r>
      <w:r w:rsidRPr="00F24D99">
        <w:rPr>
          <w:rFonts w:ascii="Times New Roman" w:hAnsi="Times New Roman"/>
          <w:sz w:val="20"/>
        </w:rPr>
        <w:t xml:space="preserve"> </w:t>
      </w:r>
      <w:r w:rsidRPr="00F24D99">
        <w:rPr>
          <w:rFonts w:ascii="Times New Roman" w:hAnsi="Times New Roman" w:cs="Times New Roman"/>
          <w:sz w:val="20"/>
          <w:szCs w:val="32"/>
        </w:rPr>
        <w:t xml:space="preserve">"Adriaen's Landing." </w:t>
      </w:r>
      <w:r w:rsidRPr="00F24D99">
        <w:rPr>
          <w:rFonts w:ascii="Times New Roman" w:hAnsi="Times New Roman" w:cs="Times New Roman"/>
          <w:i/>
          <w:iCs/>
          <w:sz w:val="20"/>
          <w:szCs w:val="32"/>
        </w:rPr>
        <w:t>Hartford: Happening as we Speak</w:t>
      </w:r>
      <w:r w:rsidRPr="00F24D99">
        <w:rPr>
          <w:rFonts w:ascii="Times New Roman" w:hAnsi="Times New Roman" w:cs="Times New Roman"/>
          <w:sz w:val="20"/>
          <w:szCs w:val="32"/>
        </w:rPr>
        <w:t xml:space="preserve">. Greater Hartford Convention &amp; Visitors Bureau. Web. 18 Nov. 2009. </w:t>
      </w:r>
    </w:p>
  </w:footnote>
  <w:footnote w:id="5">
    <w:p w:rsidR="008D231C" w:rsidRPr="0015645F" w:rsidRDefault="008D231C" w:rsidP="00D626E9">
      <w:pPr>
        <w:pStyle w:val="FootnoteText"/>
      </w:pPr>
      <w:r w:rsidRPr="0015645F">
        <w:rPr>
          <w:rStyle w:val="FootnoteReference"/>
        </w:rPr>
        <w:footnoteRef/>
      </w:r>
      <w:r w:rsidRPr="0015645F">
        <w:t xml:space="preserve"> </w:t>
      </w:r>
      <w:r w:rsidRPr="0015645F">
        <w:rPr>
          <w:rFonts w:ascii="Times New Roman" w:hAnsi="Times New Roman"/>
          <w:szCs w:val="32"/>
        </w:rPr>
        <w:t xml:space="preserve">Fleury, Matt. "Adriaen's Landing Project Breaks Ground." </w:t>
      </w:r>
      <w:r w:rsidRPr="0015645F">
        <w:rPr>
          <w:rFonts w:ascii="Times New Roman" w:hAnsi="Times New Roman"/>
          <w:i/>
          <w:iCs/>
          <w:szCs w:val="32"/>
        </w:rPr>
        <w:t>Capital City Economics Development Authority</w:t>
      </w:r>
      <w:r w:rsidRPr="0015645F">
        <w:rPr>
          <w:rFonts w:ascii="Times New Roman" w:hAnsi="Times New Roman"/>
          <w:szCs w:val="32"/>
        </w:rPr>
        <w:t xml:space="preserve">. Hartford Government, 31 May 2001. Web. 24 Nov. 2009. </w:t>
      </w:r>
    </w:p>
  </w:footnote>
  <w:footnote w:id="6">
    <w:p w:rsidR="008D231C" w:rsidRDefault="008D231C" w:rsidP="00D25889">
      <w:pPr>
        <w:pStyle w:val="FootnoteText"/>
      </w:pPr>
      <w:r>
        <w:rPr>
          <w:rStyle w:val="FootnoteReference"/>
        </w:rPr>
        <w:footnoteRef/>
      </w:r>
      <w:r>
        <w:t xml:space="preserve"> </w:t>
      </w:r>
      <w:r w:rsidRPr="0015645F">
        <w:rPr>
          <w:rFonts w:ascii="Times New Roman" w:hAnsi="Times New Roman"/>
          <w:szCs w:val="32"/>
        </w:rPr>
        <w:t xml:space="preserve">"Adriaen's Landing." </w:t>
      </w:r>
      <w:r w:rsidRPr="0015645F">
        <w:rPr>
          <w:rFonts w:ascii="Times New Roman" w:hAnsi="Times New Roman"/>
          <w:i/>
          <w:iCs/>
          <w:szCs w:val="32"/>
        </w:rPr>
        <w:t>Capital City Economics Development Authority</w:t>
      </w:r>
      <w:r w:rsidRPr="0015645F">
        <w:rPr>
          <w:rFonts w:ascii="Times New Roman" w:hAnsi="Times New Roman"/>
          <w:szCs w:val="32"/>
        </w:rPr>
        <w:t>. CCEDA. Web. 2 Dec. 2009. &lt;http://www.cceda.net/projects/adriaens_landing.html&gt;.</w:t>
      </w:r>
    </w:p>
  </w:footnote>
  <w:footnote w:id="7">
    <w:p w:rsidR="008D231C" w:rsidRPr="00CB1AE8" w:rsidRDefault="008D231C" w:rsidP="00D25889">
      <w:pPr>
        <w:widowControl w:val="0"/>
        <w:autoSpaceDE w:val="0"/>
        <w:autoSpaceDN w:val="0"/>
        <w:adjustRightInd w:val="0"/>
        <w:rPr>
          <w:rFonts w:ascii="Times New Roman" w:hAnsi="Times New Roman" w:cs="Times New Roman"/>
          <w:sz w:val="20"/>
          <w:szCs w:val="32"/>
        </w:rPr>
      </w:pPr>
      <w:r>
        <w:rPr>
          <w:rStyle w:val="FootnoteReference"/>
        </w:rPr>
        <w:footnoteRef/>
      </w:r>
      <w:r>
        <w:t xml:space="preserve"> </w:t>
      </w:r>
      <w:r w:rsidRPr="00F24D99">
        <w:rPr>
          <w:rFonts w:ascii="Times New Roman" w:hAnsi="Times New Roman"/>
          <w:sz w:val="20"/>
        </w:rPr>
        <w:t xml:space="preserve"> </w:t>
      </w:r>
      <w:r w:rsidRPr="00F24D99">
        <w:rPr>
          <w:rFonts w:ascii="Times New Roman" w:hAnsi="Times New Roman" w:cs="Times New Roman"/>
          <w:sz w:val="20"/>
          <w:szCs w:val="32"/>
        </w:rPr>
        <w:t xml:space="preserve">"Adriaen's Landing." </w:t>
      </w:r>
      <w:r w:rsidRPr="00F24D99">
        <w:rPr>
          <w:rFonts w:ascii="Times New Roman" w:hAnsi="Times New Roman" w:cs="Times New Roman"/>
          <w:i/>
          <w:iCs/>
          <w:sz w:val="20"/>
          <w:szCs w:val="32"/>
        </w:rPr>
        <w:t>Hartford: Happening as we Speak</w:t>
      </w:r>
      <w:r w:rsidRPr="00F24D99">
        <w:rPr>
          <w:rFonts w:ascii="Times New Roman" w:hAnsi="Times New Roman" w:cs="Times New Roman"/>
          <w:sz w:val="20"/>
          <w:szCs w:val="32"/>
        </w:rPr>
        <w:t>. Greater Hartford Convention &amp; Visitors Burea</w:t>
      </w:r>
      <w:r w:rsidR="00D626E9">
        <w:rPr>
          <w:rFonts w:ascii="Times New Roman" w:hAnsi="Times New Roman" w:cs="Times New Roman"/>
          <w:sz w:val="20"/>
          <w:szCs w:val="32"/>
        </w:rPr>
        <w:t>u. Web. 18 Nov. 2009.</w:t>
      </w:r>
    </w:p>
  </w:footnote>
  <w:footnote w:id="8">
    <w:p w:rsidR="008D231C" w:rsidRPr="008E405E" w:rsidRDefault="008D231C" w:rsidP="00D25889">
      <w:pPr>
        <w:widowControl w:val="0"/>
        <w:autoSpaceDE w:val="0"/>
        <w:autoSpaceDN w:val="0"/>
        <w:adjustRightInd w:val="0"/>
        <w:rPr>
          <w:rFonts w:ascii="Times New Roman" w:hAnsi="Times New Roman" w:cs="Times New Roman"/>
          <w:sz w:val="20"/>
          <w:szCs w:val="32"/>
        </w:rPr>
      </w:pPr>
      <w:r>
        <w:rPr>
          <w:rStyle w:val="FootnoteReference"/>
        </w:rPr>
        <w:footnoteRef/>
      </w:r>
      <w:r w:rsidR="00D626E9">
        <w:rPr>
          <w:rFonts w:ascii="Times New Roman" w:hAnsi="Times New Roman"/>
          <w:sz w:val="20"/>
        </w:rPr>
        <w:t xml:space="preserve"> </w:t>
      </w:r>
      <w:r w:rsidRPr="00F24D99">
        <w:rPr>
          <w:rFonts w:ascii="Times New Roman" w:hAnsi="Times New Roman"/>
          <w:sz w:val="20"/>
        </w:rPr>
        <w:t xml:space="preserve"> </w:t>
      </w:r>
      <w:r w:rsidRPr="00F24D99">
        <w:rPr>
          <w:rFonts w:ascii="Times New Roman" w:hAnsi="Times New Roman" w:cs="Times New Roman"/>
          <w:sz w:val="20"/>
          <w:szCs w:val="32"/>
        </w:rPr>
        <w:t xml:space="preserve">"Adriaen's Landing." </w:t>
      </w:r>
      <w:r w:rsidRPr="00F24D99">
        <w:rPr>
          <w:rFonts w:ascii="Times New Roman" w:hAnsi="Times New Roman" w:cs="Times New Roman"/>
          <w:i/>
          <w:iCs/>
          <w:sz w:val="20"/>
          <w:szCs w:val="32"/>
        </w:rPr>
        <w:t>Hartford: Happening as we Speak</w:t>
      </w:r>
      <w:r w:rsidRPr="00F24D99">
        <w:rPr>
          <w:rFonts w:ascii="Times New Roman" w:hAnsi="Times New Roman" w:cs="Times New Roman"/>
          <w:sz w:val="20"/>
          <w:szCs w:val="32"/>
        </w:rPr>
        <w:t>. Greater Hartford Convention &amp; Visitors Bureau.</w:t>
      </w:r>
    </w:p>
  </w:footnote>
  <w:footnote w:id="9">
    <w:p w:rsidR="008D231C" w:rsidRPr="004121F6" w:rsidRDefault="008D231C" w:rsidP="00D25889">
      <w:pPr>
        <w:pStyle w:val="FootnoteText"/>
        <w:rPr>
          <w:rFonts w:ascii="Times New Roman" w:hAnsi="Times New Roman"/>
        </w:rPr>
      </w:pPr>
      <w:r w:rsidRPr="00CB1AE8">
        <w:rPr>
          <w:rStyle w:val="FootnoteReference"/>
        </w:rPr>
        <w:footnoteRef/>
      </w:r>
      <w:r w:rsidRPr="00CB1AE8">
        <w:t xml:space="preserve"> </w:t>
      </w:r>
      <w:r w:rsidRPr="00CB1AE8">
        <w:rPr>
          <w:rFonts w:ascii="Times New Roman" w:hAnsi="Times New Roman"/>
          <w:szCs w:val="32"/>
        </w:rPr>
        <w:t xml:space="preserve">Cooper, Chris. "Governor Rell Announces $5.5 Million for </w:t>
      </w:r>
      <w:r w:rsidRPr="004121F6">
        <w:rPr>
          <w:rFonts w:ascii="Times New Roman" w:hAnsi="Times New Roman"/>
        </w:rPr>
        <w:t xml:space="preserve">Hartford’s Adriaen’s Landing." </w:t>
      </w:r>
      <w:r w:rsidRPr="004121F6">
        <w:rPr>
          <w:rFonts w:ascii="Times New Roman" w:hAnsi="Times New Roman"/>
          <w:i/>
          <w:iCs/>
        </w:rPr>
        <w:t>State of Connecticut</w:t>
      </w:r>
      <w:r w:rsidRPr="004121F6">
        <w:rPr>
          <w:rFonts w:ascii="Times New Roman" w:hAnsi="Times New Roman"/>
        </w:rPr>
        <w:t>. Department of Economic &amp; Community Development, 25 July 2008. Web. 4 Dec. 2009. &lt;http://www.ct.gov/ecd/cwp/view.asp?A=1104&amp;Q=420198&gt;.</w:t>
      </w:r>
    </w:p>
  </w:footnote>
  <w:footnote w:id="10">
    <w:p w:rsidR="008D231C" w:rsidRPr="004121F6" w:rsidRDefault="008D231C" w:rsidP="00D25889">
      <w:pPr>
        <w:pStyle w:val="FootnoteText"/>
        <w:rPr>
          <w:rFonts w:ascii="Times New Roman" w:hAnsi="Times New Roman"/>
        </w:rPr>
      </w:pPr>
      <w:r w:rsidRPr="004121F6">
        <w:rPr>
          <w:rStyle w:val="FootnoteReference"/>
          <w:rFonts w:ascii="Times New Roman" w:hAnsi="Times New Roman"/>
        </w:rPr>
        <w:footnoteRef/>
      </w:r>
      <w:r w:rsidRPr="004121F6">
        <w:rPr>
          <w:rFonts w:ascii="Times New Roman" w:hAnsi="Times New Roman"/>
        </w:rPr>
        <w:t xml:space="preserve"> “Steelpoint: A Step Forward.” New York Times. 11/04/2007. New York Times, Web. 7 Oct 2009. &lt;http://www.nytimes.com/2007/11/04/opinion/nyregionopinions/CT-steelpoint.html&gt;</w:t>
      </w:r>
    </w:p>
  </w:footnote>
  <w:footnote w:id="11">
    <w:p w:rsidR="008D231C" w:rsidRPr="004121F6" w:rsidRDefault="008D231C" w:rsidP="00D25889">
      <w:pPr>
        <w:pStyle w:val="FootnoteText"/>
        <w:rPr>
          <w:rFonts w:ascii="Times New Roman" w:hAnsi="Times New Roman"/>
        </w:rPr>
      </w:pPr>
      <w:r w:rsidRPr="004121F6">
        <w:rPr>
          <w:rStyle w:val="FootnoteReference"/>
          <w:rFonts w:ascii="Times New Roman" w:hAnsi="Times New Roman"/>
        </w:rPr>
        <w:footnoteRef/>
      </w:r>
      <w:r w:rsidRPr="004121F6">
        <w:rPr>
          <w:rFonts w:ascii="Times New Roman" w:hAnsi="Times New Roman"/>
        </w:rPr>
        <w:t xml:space="preserve"> Steelpoint Harbor. Web. 7 Oct 2009. &lt;http://www.steelpointharbor.com&gt;</w:t>
      </w:r>
    </w:p>
  </w:footnote>
  <w:footnote w:id="12">
    <w:p w:rsidR="008D231C" w:rsidRDefault="008D231C" w:rsidP="00D25889">
      <w:pPr>
        <w:pStyle w:val="FootnoteText"/>
      </w:pPr>
      <w:r w:rsidRPr="004121F6">
        <w:rPr>
          <w:rStyle w:val="FootnoteReference"/>
          <w:rFonts w:ascii="Times New Roman" w:hAnsi="Times New Roman"/>
        </w:rPr>
        <w:footnoteRef/>
      </w:r>
      <w:r w:rsidRPr="004121F6">
        <w:rPr>
          <w:rFonts w:ascii="Times New Roman" w:hAnsi="Times New Roman"/>
        </w:rPr>
        <w:t xml:space="preserve"> Gosselin, Kenneth. “Bridgeport Steel Point Harbor Project Now Planned In Phases.” Courant. 09/03/2009. Hartford Courant, Web. 7 Oct 2009. &lt;http://www.courant.com/business/hc-steelpoint-agreement-is-reached.html&gt;</w:t>
      </w:r>
    </w:p>
  </w:footnote>
  <w:footnote w:id="13">
    <w:p w:rsidR="008D231C" w:rsidRDefault="008D231C" w:rsidP="00D25889">
      <w:pPr>
        <w:pStyle w:val="FootnoteText"/>
      </w:pPr>
      <w:r>
        <w:rPr>
          <w:rStyle w:val="FootnoteReference"/>
        </w:rPr>
        <w:footnoteRef/>
      </w:r>
      <w:r>
        <w:t xml:space="preserve"> </w:t>
      </w:r>
      <w:r w:rsidRPr="004121F6">
        <w:rPr>
          <w:rFonts w:ascii="Times New Roman" w:hAnsi="Times New Roman"/>
        </w:rPr>
        <w:t>Steelpoint Harbor. Web. 7 Oct 2009. &lt;http://www.steelpointharbor.com&gt;</w:t>
      </w:r>
    </w:p>
  </w:footnote>
  <w:footnote w:id="14">
    <w:p w:rsidR="008D231C" w:rsidRDefault="008D231C" w:rsidP="00D25889">
      <w:pPr>
        <w:pStyle w:val="FootnoteText"/>
      </w:pPr>
      <w:r>
        <w:rPr>
          <w:rStyle w:val="FootnoteReference"/>
        </w:rPr>
        <w:footnoteRef/>
      </w:r>
      <w:r>
        <w:t xml:space="preserve"> </w:t>
      </w:r>
      <w:r w:rsidRPr="004121F6">
        <w:rPr>
          <w:rFonts w:ascii="Times New Roman" w:hAnsi="Times New Roman"/>
        </w:rPr>
        <w:t>Steelpoint Harbor. Web. 7 Oct 2009. &lt;http://www.steelpointharbor.com&gt;</w:t>
      </w:r>
    </w:p>
  </w:footnote>
  <w:footnote w:id="15">
    <w:p w:rsidR="008D231C" w:rsidRDefault="008D231C" w:rsidP="00D25889">
      <w:pPr>
        <w:pStyle w:val="FootnoteText"/>
      </w:pPr>
      <w:r>
        <w:rPr>
          <w:rStyle w:val="FootnoteReference"/>
        </w:rPr>
        <w:footnoteRef/>
      </w:r>
      <w:r>
        <w:t xml:space="preserve"> </w:t>
      </w:r>
      <w:r w:rsidRPr="004121F6">
        <w:rPr>
          <w:rFonts w:ascii="Times New Roman" w:hAnsi="Times New Roman"/>
        </w:rPr>
        <w:t>“Steelpoint: A Step Forward.” New York Times. 11/04/2007. New York Times, Web. 7 Oct 2009. &lt;http://www.nytimes.com/2007/11/04/opinion/nyregionopinions/CT-steelpoint.html&gt;</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1"/>
    <w:footnote w:id="0"/>
  </w:footnotePr>
  <w:endnotePr>
    <w:endnote w:id="-1"/>
    <w:endnote w:id="0"/>
  </w:endnotePr>
  <w:compat/>
  <w:rsids>
    <w:rsidRoot w:val="00EB2A51"/>
    <w:rsid w:val="000064AE"/>
    <w:rsid w:val="0000671B"/>
    <w:rsid w:val="00020E6C"/>
    <w:rsid w:val="00041376"/>
    <w:rsid w:val="00050F10"/>
    <w:rsid w:val="000664C2"/>
    <w:rsid w:val="00077B64"/>
    <w:rsid w:val="00094E45"/>
    <w:rsid w:val="000F0E27"/>
    <w:rsid w:val="0010031A"/>
    <w:rsid w:val="00106B64"/>
    <w:rsid w:val="00114F76"/>
    <w:rsid w:val="00127A99"/>
    <w:rsid w:val="00146C4F"/>
    <w:rsid w:val="00152A2B"/>
    <w:rsid w:val="00161E79"/>
    <w:rsid w:val="0017666B"/>
    <w:rsid w:val="00177051"/>
    <w:rsid w:val="00181ECF"/>
    <w:rsid w:val="001A72B9"/>
    <w:rsid w:val="001B795D"/>
    <w:rsid w:val="001F714F"/>
    <w:rsid w:val="00223CBD"/>
    <w:rsid w:val="0023537C"/>
    <w:rsid w:val="002546CE"/>
    <w:rsid w:val="00267F46"/>
    <w:rsid w:val="00275233"/>
    <w:rsid w:val="002811BE"/>
    <w:rsid w:val="00297DB5"/>
    <w:rsid w:val="002A2570"/>
    <w:rsid w:val="002A47E9"/>
    <w:rsid w:val="002B11C0"/>
    <w:rsid w:val="002C7571"/>
    <w:rsid w:val="002C75DA"/>
    <w:rsid w:val="00310242"/>
    <w:rsid w:val="00317A46"/>
    <w:rsid w:val="00324969"/>
    <w:rsid w:val="00327FAD"/>
    <w:rsid w:val="00333887"/>
    <w:rsid w:val="00346994"/>
    <w:rsid w:val="0038032A"/>
    <w:rsid w:val="00392319"/>
    <w:rsid w:val="003A080D"/>
    <w:rsid w:val="003C6E97"/>
    <w:rsid w:val="003D756A"/>
    <w:rsid w:val="003F115F"/>
    <w:rsid w:val="004040E8"/>
    <w:rsid w:val="00405954"/>
    <w:rsid w:val="00427AC0"/>
    <w:rsid w:val="004455F2"/>
    <w:rsid w:val="0045583B"/>
    <w:rsid w:val="0045716B"/>
    <w:rsid w:val="00465D91"/>
    <w:rsid w:val="004856BA"/>
    <w:rsid w:val="004863DA"/>
    <w:rsid w:val="004A128E"/>
    <w:rsid w:val="004C2F05"/>
    <w:rsid w:val="004D33F9"/>
    <w:rsid w:val="004D59E4"/>
    <w:rsid w:val="00500F70"/>
    <w:rsid w:val="0053334B"/>
    <w:rsid w:val="0054183D"/>
    <w:rsid w:val="0055633C"/>
    <w:rsid w:val="005A2DFB"/>
    <w:rsid w:val="005E5D3A"/>
    <w:rsid w:val="00603C4D"/>
    <w:rsid w:val="0062209B"/>
    <w:rsid w:val="006439B1"/>
    <w:rsid w:val="00663586"/>
    <w:rsid w:val="00672C42"/>
    <w:rsid w:val="006B694C"/>
    <w:rsid w:val="006C3D8D"/>
    <w:rsid w:val="006D37DD"/>
    <w:rsid w:val="007201F3"/>
    <w:rsid w:val="00755467"/>
    <w:rsid w:val="00794B5B"/>
    <w:rsid w:val="007B6F1C"/>
    <w:rsid w:val="007C0334"/>
    <w:rsid w:val="007C040F"/>
    <w:rsid w:val="007D2692"/>
    <w:rsid w:val="007F2C7C"/>
    <w:rsid w:val="007F3648"/>
    <w:rsid w:val="008302CE"/>
    <w:rsid w:val="00831B46"/>
    <w:rsid w:val="008537A3"/>
    <w:rsid w:val="008646BD"/>
    <w:rsid w:val="008819D5"/>
    <w:rsid w:val="00894E03"/>
    <w:rsid w:val="008A67A4"/>
    <w:rsid w:val="008D070D"/>
    <w:rsid w:val="008D231C"/>
    <w:rsid w:val="008E0810"/>
    <w:rsid w:val="008E2F57"/>
    <w:rsid w:val="008E7ED9"/>
    <w:rsid w:val="009079B4"/>
    <w:rsid w:val="0093439C"/>
    <w:rsid w:val="00935CEB"/>
    <w:rsid w:val="009426BD"/>
    <w:rsid w:val="009445F3"/>
    <w:rsid w:val="00945602"/>
    <w:rsid w:val="00987ABB"/>
    <w:rsid w:val="009909E5"/>
    <w:rsid w:val="009A4973"/>
    <w:rsid w:val="009B7A8C"/>
    <w:rsid w:val="009D54EA"/>
    <w:rsid w:val="009E59C7"/>
    <w:rsid w:val="009E5AD7"/>
    <w:rsid w:val="009F0752"/>
    <w:rsid w:val="00A02785"/>
    <w:rsid w:val="00A10E34"/>
    <w:rsid w:val="00A32246"/>
    <w:rsid w:val="00A372C2"/>
    <w:rsid w:val="00A50ED4"/>
    <w:rsid w:val="00AA719E"/>
    <w:rsid w:val="00AB67FD"/>
    <w:rsid w:val="00AD46FC"/>
    <w:rsid w:val="00B00FBB"/>
    <w:rsid w:val="00B02BC7"/>
    <w:rsid w:val="00B20819"/>
    <w:rsid w:val="00B314E6"/>
    <w:rsid w:val="00B33A46"/>
    <w:rsid w:val="00B44429"/>
    <w:rsid w:val="00B52812"/>
    <w:rsid w:val="00B53607"/>
    <w:rsid w:val="00B5620E"/>
    <w:rsid w:val="00B64EA3"/>
    <w:rsid w:val="00B90213"/>
    <w:rsid w:val="00BA12B9"/>
    <w:rsid w:val="00BA42BD"/>
    <w:rsid w:val="00BA77F7"/>
    <w:rsid w:val="00BA7A87"/>
    <w:rsid w:val="00BB17AD"/>
    <w:rsid w:val="00BB1C52"/>
    <w:rsid w:val="00BB2634"/>
    <w:rsid w:val="00BD6AF2"/>
    <w:rsid w:val="00BD746C"/>
    <w:rsid w:val="00BE7FB0"/>
    <w:rsid w:val="00BF27BA"/>
    <w:rsid w:val="00C0355A"/>
    <w:rsid w:val="00C05BD8"/>
    <w:rsid w:val="00C17063"/>
    <w:rsid w:val="00C452E9"/>
    <w:rsid w:val="00C573BD"/>
    <w:rsid w:val="00C855FF"/>
    <w:rsid w:val="00CA27CC"/>
    <w:rsid w:val="00CF3CD9"/>
    <w:rsid w:val="00D25889"/>
    <w:rsid w:val="00D52A42"/>
    <w:rsid w:val="00D626E9"/>
    <w:rsid w:val="00D65A17"/>
    <w:rsid w:val="00D81991"/>
    <w:rsid w:val="00D8391D"/>
    <w:rsid w:val="00DA3837"/>
    <w:rsid w:val="00DB1CA6"/>
    <w:rsid w:val="00DC528B"/>
    <w:rsid w:val="00DD4296"/>
    <w:rsid w:val="00E03DCF"/>
    <w:rsid w:val="00E13A02"/>
    <w:rsid w:val="00E33ED3"/>
    <w:rsid w:val="00E530A3"/>
    <w:rsid w:val="00E63364"/>
    <w:rsid w:val="00E84A2C"/>
    <w:rsid w:val="00E91DEC"/>
    <w:rsid w:val="00E96797"/>
    <w:rsid w:val="00EB077C"/>
    <w:rsid w:val="00EB2A51"/>
    <w:rsid w:val="00EB7394"/>
    <w:rsid w:val="00EC249A"/>
    <w:rsid w:val="00EC61AE"/>
    <w:rsid w:val="00EF53F9"/>
    <w:rsid w:val="00F04E74"/>
    <w:rsid w:val="00F17F38"/>
    <w:rsid w:val="00F35168"/>
    <w:rsid w:val="00F47C16"/>
    <w:rsid w:val="00F61577"/>
    <w:rsid w:val="00F62199"/>
    <w:rsid w:val="00F64E9F"/>
    <w:rsid w:val="00F734BB"/>
    <w:rsid w:val="00FE2247"/>
    <w:rsid w:val="00FE4C37"/>
    <w:rsid w:val="00FF3C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State"/>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994"/>
  </w:style>
  <w:style w:type="paragraph" w:styleId="Heading1">
    <w:name w:val="heading 1"/>
    <w:basedOn w:val="Normal"/>
    <w:next w:val="Normal"/>
    <w:link w:val="Heading1Char"/>
    <w:uiPriority w:val="9"/>
    <w:qFormat/>
    <w:rsid w:val="00114F76"/>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link w:val="Heading2Char"/>
    <w:uiPriority w:val="9"/>
    <w:qFormat/>
    <w:rsid w:val="00114F76"/>
    <w:pPr>
      <w:spacing w:before="100" w:beforeAutospacing="1" w:after="100" w:afterAutospacing="1" w:line="240" w:lineRule="auto"/>
      <w:outlineLvl w:val="1"/>
    </w:pPr>
    <w:rPr>
      <w:rFonts w:ascii="Times New Roman" w:eastAsia="Times New Roman" w:hAnsi="Times New Roman"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7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7F7"/>
    <w:rPr>
      <w:rFonts w:ascii="Tahoma" w:hAnsi="Tahoma" w:cs="Tahoma"/>
      <w:sz w:val="16"/>
      <w:szCs w:val="16"/>
    </w:rPr>
  </w:style>
  <w:style w:type="character" w:customStyle="1" w:styleId="Heading1Char">
    <w:name w:val="Heading 1 Char"/>
    <w:basedOn w:val="DefaultParagraphFont"/>
    <w:link w:val="Heading1"/>
    <w:uiPriority w:val="9"/>
    <w:rsid w:val="00114F76"/>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114F76"/>
    <w:pPr>
      <w:spacing w:line="240" w:lineRule="auto"/>
    </w:pPr>
    <w:rPr>
      <w:sz w:val="24"/>
      <w:szCs w:val="24"/>
    </w:rPr>
  </w:style>
  <w:style w:type="character" w:customStyle="1" w:styleId="Heading2Char">
    <w:name w:val="Heading 2 Char"/>
    <w:basedOn w:val="DefaultParagraphFont"/>
    <w:link w:val="Heading2"/>
    <w:uiPriority w:val="9"/>
    <w:rsid w:val="00114F76"/>
    <w:rPr>
      <w:rFonts w:ascii="Times New Roman" w:eastAsia="Times New Roman" w:hAnsi="Times New Roman" w:cs="Times New Roman"/>
      <w:b/>
      <w:bCs/>
      <w:sz w:val="26"/>
      <w:szCs w:val="26"/>
    </w:rPr>
  </w:style>
  <w:style w:type="table" w:styleId="TableGrid">
    <w:name w:val="Table Grid"/>
    <w:basedOn w:val="TableNormal"/>
    <w:uiPriority w:val="59"/>
    <w:rsid w:val="00114F76"/>
    <w:pPr>
      <w:spacing w:after="0" w:line="240" w:lineRule="auto"/>
    </w:pPr>
    <w:rPr>
      <w:rFonts w:ascii="Times New Roman" w:eastAsia="Calibri" w:hAnsi="Times New Roman" w:cs="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114F7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14F76"/>
    <w:rPr>
      <w:color w:val="0000FF"/>
      <w:u w:val="single"/>
    </w:rPr>
  </w:style>
  <w:style w:type="paragraph" w:styleId="Header">
    <w:name w:val="header"/>
    <w:basedOn w:val="Normal"/>
    <w:link w:val="HeaderChar"/>
    <w:uiPriority w:val="99"/>
    <w:semiHidden/>
    <w:unhideWhenUsed/>
    <w:rsid w:val="00114F7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114F76"/>
    <w:rPr>
      <w:rFonts w:ascii="Calibri" w:eastAsia="Calibri" w:hAnsi="Calibri" w:cs="Times New Roman"/>
    </w:rPr>
  </w:style>
  <w:style w:type="paragraph" w:styleId="Footer">
    <w:name w:val="footer"/>
    <w:basedOn w:val="Normal"/>
    <w:link w:val="FooterChar"/>
    <w:uiPriority w:val="99"/>
    <w:semiHidden/>
    <w:unhideWhenUsed/>
    <w:rsid w:val="00114F76"/>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semiHidden/>
    <w:rsid w:val="00114F76"/>
    <w:rPr>
      <w:rFonts w:ascii="Calibri" w:eastAsia="Calibri" w:hAnsi="Calibri" w:cs="Times New Roman"/>
    </w:rPr>
  </w:style>
  <w:style w:type="paragraph" w:styleId="FootnoteText">
    <w:name w:val="footnote text"/>
    <w:basedOn w:val="Normal"/>
    <w:link w:val="FootnoteTextChar"/>
    <w:unhideWhenUsed/>
    <w:rsid w:val="00114F76"/>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114F76"/>
    <w:rPr>
      <w:rFonts w:ascii="Calibri" w:eastAsia="Calibri" w:hAnsi="Calibri" w:cs="Times New Roman"/>
      <w:sz w:val="20"/>
      <w:szCs w:val="20"/>
    </w:rPr>
  </w:style>
  <w:style w:type="character" w:styleId="FootnoteReference">
    <w:name w:val="footnote reference"/>
    <w:basedOn w:val="DefaultParagraphFont"/>
    <w:semiHidden/>
    <w:unhideWhenUsed/>
    <w:rsid w:val="00114F76"/>
    <w:rPr>
      <w:vertAlign w:val="superscript"/>
    </w:rPr>
  </w:style>
  <w:style w:type="paragraph" w:styleId="EndnoteText">
    <w:name w:val="endnote text"/>
    <w:basedOn w:val="Normal"/>
    <w:link w:val="EndnoteTextChar"/>
    <w:uiPriority w:val="99"/>
    <w:semiHidden/>
    <w:unhideWhenUsed/>
    <w:rsid w:val="00114F76"/>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114F76"/>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114F76"/>
    <w:rPr>
      <w:vertAlign w:val="superscript"/>
    </w:rPr>
  </w:style>
  <w:style w:type="character" w:styleId="FollowedHyperlink">
    <w:name w:val="FollowedHyperlink"/>
    <w:basedOn w:val="DefaultParagraphFont"/>
    <w:uiPriority w:val="99"/>
    <w:semiHidden/>
    <w:unhideWhenUsed/>
    <w:rsid w:val="00114F76"/>
    <w:rPr>
      <w:color w:val="800080"/>
      <w:u w:val="single"/>
    </w:rPr>
  </w:style>
  <w:style w:type="character" w:styleId="Strong">
    <w:name w:val="Strong"/>
    <w:basedOn w:val="DefaultParagraphFont"/>
    <w:uiPriority w:val="22"/>
    <w:qFormat/>
    <w:rsid w:val="00114F76"/>
    <w:rPr>
      <w:b/>
      <w:bCs/>
    </w:rPr>
  </w:style>
  <w:style w:type="paragraph" w:styleId="NoSpacing">
    <w:name w:val="No Spacing"/>
    <w:uiPriority w:val="99"/>
    <w:qFormat/>
    <w:rsid w:val="00333887"/>
    <w:pPr>
      <w:spacing w:after="0" w:line="240" w:lineRule="auto"/>
    </w:pPr>
    <w:rPr>
      <w:rFonts w:ascii="Calibri" w:eastAsia="Calibri" w:hAnsi="Calibri" w:cs="Calibri"/>
    </w:rPr>
  </w:style>
  <w:style w:type="character" w:customStyle="1" w:styleId="citation">
    <w:name w:val="citation"/>
    <w:basedOn w:val="DefaultParagraphFont"/>
    <w:uiPriority w:val="99"/>
    <w:rsid w:val="00333887"/>
  </w:style>
</w:styles>
</file>

<file path=word/webSettings.xml><?xml version="1.0" encoding="utf-8"?>
<w:webSettings xmlns:r="http://schemas.openxmlformats.org/officeDocument/2006/relationships" xmlns:w="http://schemas.openxmlformats.org/wordprocessingml/2006/main">
  <w:divs>
    <w:div w:id="958224107">
      <w:bodyDiv w:val="1"/>
      <w:marLeft w:val="0"/>
      <w:marRight w:val="0"/>
      <w:marTop w:val="0"/>
      <w:marBottom w:val="0"/>
      <w:divBdr>
        <w:top w:val="none" w:sz="0" w:space="0" w:color="auto"/>
        <w:left w:val="none" w:sz="0" w:space="0" w:color="auto"/>
        <w:bottom w:val="none" w:sz="0" w:space="0" w:color="auto"/>
        <w:right w:val="none" w:sz="0" w:space="0" w:color="auto"/>
      </w:divBdr>
    </w:div>
    <w:div w:id="209258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www.ctdol.state.ct.us/lmi/industries.htm" TargetMode="External"/><Relationship Id="rId18" Type="http://schemas.openxmlformats.org/officeDocument/2006/relationships/image" Target="media/image3.png"/><Relationship Id="rId26"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chart" Target="charts/chart1.xml"/><Relationship Id="rId12" Type="http://schemas.openxmlformats.org/officeDocument/2006/relationships/hyperlink" Target="http://www.ctdol.state.ct.us/lmi/ct_healthcare_occs.pdf"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7.xml"/><Relationship Id="rId5" Type="http://schemas.openxmlformats.org/officeDocument/2006/relationships/footnotes" Target="footnotes.xml"/><Relationship Id="rId15" Type="http://schemas.openxmlformats.org/officeDocument/2006/relationships/hyperlink" Target="http://www.mass.gov/" TargetMode="External"/><Relationship Id="rId23" Type="http://schemas.openxmlformats.org/officeDocument/2006/relationships/chart" Target="charts/chart6.xml"/><Relationship Id="rId28"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hyperlink" Target="http://lwd.state.nj.us/lpaapp/app?pageLinkParam=OrO0ABXNyABFqYXZhLnV0aWwuSGFzaE1hcAUH2sHDFmDRAwACRgAKbG9hZEZhY3RvckkACXRocmVzaG9sZHhwP0AAAAAAAAx3CAAAABAAAAAEdAAKc2VyaWVzQ29kZXQAAjYydAAQcGFnZUxpbmtQYWdlTmFtZXQABFFDRVd0AAptZXRob2RuYW1ldAAOanVtcFRvSW5kdXN0cnl" TargetMode="External"/><Relationship Id="rId22" Type="http://schemas.openxmlformats.org/officeDocument/2006/relationships/image" Target="media/image7.png"/><Relationship Id="rId27"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Tommy%20Trapps\AppData\Roaming\Microsoft\Excel\Book1%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ommy%20Trapps\AppData\Local\Temp\SecEmpXls.asp.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immigrants%20in%20CT%20graphs.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immigrants%20in%20CT%20graphs.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title/>
    <c:plotArea>
      <c:layout/>
      <c:pieChart>
        <c:varyColors val="1"/>
        <c:ser>
          <c:idx val="0"/>
          <c:order val="0"/>
          <c:tx>
            <c:strRef>
              <c:f>Sheet1!$B$1</c:f>
              <c:strCache>
                <c:ptCount val="1"/>
                <c:pt idx="0">
                  <c:v>Employment-Construction</c:v>
                </c:pt>
              </c:strCache>
            </c:strRef>
          </c:tx>
          <c:dPt>
            <c:idx val="4"/>
            <c:spPr>
              <a:solidFill>
                <a:srgbClr val="FFFF00"/>
              </a:solidFill>
              <a:ln>
                <a:solidFill>
                  <a:srgbClr val="FFFF00"/>
                </a:solidFill>
              </a:ln>
            </c:spPr>
          </c:dPt>
          <c:cat>
            <c:strRef>
              <c:f>Sheet1!$A$2:$A$7</c:f>
              <c:strCache>
                <c:ptCount val="6"/>
                <c:pt idx="0">
                  <c:v>Hartford</c:v>
                </c:pt>
                <c:pt idx="1">
                  <c:v>Bridgeport-Stamford</c:v>
                </c:pt>
                <c:pt idx="2">
                  <c:v>New Haven</c:v>
                </c:pt>
                <c:pt idx="3">
                  <c:v>Danbury</c:v>
                </c:pt>
                <c:pt idx="4">
                  <c:v>Norwich-New London</c:v>
                </c:pt>
                <c:pt idx="5">
                  <c:v>Waterbury</c:v>
                </c:pt>
              </c:strCache>
            </c:strRef>
          </c:cat>
          <c:val>
            <c:numRef>
              <c:f>Sheet1!$B$2:$B$7</c:f>
              <c:numCache>
                <c:formatCode>General</c:formatCode>
                <c:ptCount val="6"/>
                <c:pt idx="0">
                  <c:v>19230</c:v>
                </c:pt>
                <c:pt idx="1">
                  <c:v>12710</c:v>
                </c:pt>
                <c:pt idx="2">
                  <c:v>10190</c:v>
                </c:pt>
                <c:pt idx="3">
                  <c:v>2720</c:v>
                </c:pt>
                <c:pt idx="4">
                  <c:v>4670</c:v>
                </c:pt>
                <c:pt idx="5">
                  <c:v>2310</c:v>
                </c:pt>
              </c:numCache>
            </c:numRef>
          </c:val>
        </c:ser>
        <c:dLbls>
          <c:showPercent val="1"/>
        </c:dLbls>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2009 Construction Employment</a:t>
            </a:r>
          </a:p>
        </c:rich>
      </c:tx>
    </c:title>
    <c:plotArea>
      <c:layout>
        <c:manualLayout>
          <c:layoutTarget val="inner"/>
          <c:xMode val="edge"/>
          <c:yMode val="edge"/>
          <c:x val="0.17961058537407595"/>
          <c:y val="0.19480351414406533"/>
          <c:w val="0.65579002624673222"/>
          <c:h val="0.65482210557013765"/>
        </c:manualLayout>
      </c:layout>
      <c:lineChart>
        <c:grouping val="standard"/>
        <c:ser>
          <c:idx val="0"/>
          <c:order val="0"/>
          <c:tx>
            <c:strRef>
              <c:f>SecEmpXls.asp!$X$2</c:f>
              <c:strCache>
                <c:ptCount val="1"/>
                <c:pt idx="0">
                  <c:v>2009</c:v>
                </c:pt>
              </c:strCache>
            </c:strRef>
          </c:tx>
          <c:marker>
            <c:symbol val="none"/>
          </c:marker>
          <c:cat>
            <c:strRef>
              <c:f>SecEmpXls.asp!$W$3:$W$12</c:f>
              <c:strCache>
                <c:ptCount val="10"/>
                <c:pt idx="0">
                  <c:v>Jan</c:v>
                </c:pt>
                <c:pt idx="1">
                  <c:v>Feb</c:v>
                </c:pt>
                <c:pt idx="2">
                  <c:v>Mar</c:v>
                </c:pt>
                <c:pt idx="3">
                  <c:v>Apr</c:v>
                </c:pt>
                <c:pt idx="4">
                  <c:v>May</c:v>
                </c:pt>
                <c:pt idx="5">
                  <c:v>Jun</c:v>
                </c:pt>
                <c:pt idx="6">
                  <c:v>Jul</c:v>
                </c:pt>
                <c:pt idx="7">
                  <c:v>Aug</c:v>
                </c:pt>
                <c:pt idx="8">
                  <c:v>Sep</c:v>
                </c:pt>
                <c:pt idx="9">
                  <c:v>Oct</c:v>
                </c:pt>
              </c:strCache>
            </c:strRef>
          </c:cat>
          <c:val>
            <c:numRef>
              <c:f>SecEmpXls.asp!$X$3:$X$12</c:f>
              <c:numCache>
                <c:formatCode>General</c:formatCode>
                <c:ptCount val="10"/>
                <c:pt idx="0">
                  <c:v>56900</c:v>
                </c:pt>
                <c:pt idx="1">
                  <c:v>54900</c:v>
                </c:pt>
                <c:pt idx="2">
                  <c:v>53200</c:v>
                </c:pt>
                <c:pt idx="3">
                  <c:v>51900</c:v>
                </c:pt>
                <c:pt idx="4">
                  <c:v>53000</c:v>
                </c:pt>
                <c:pt idx="5">
                  <c:v>50900</c:v>
                </c:pt>
                <c:pt idx="6">
                  <c:v>50500</c:v>
                </c:pt>
                <c:pt idx="7">
                  <c:v>50800</c:v>
                </c:pt>
                <c:pt idx="8">
                  <c:v>51800</c:v>
                </c:pt>
                <c:pt idx="9">
                  <c:v>52400</c:v>
                </c:pt>
              </c:numCache>
            </c:numRef>
          </c:val>
        </c:ser>
        <c:marker val="1"/>
        <c:axId val="147528320"/>
        <c:axId val="147538304"/>
      </c:lineChart>
      <c:catAx>
        <c:axId val="147528320"/>
        <c:scaling>
          <c:orientation val="minMax"/>
        </c:scaling>
        <c:axPos val="b"/>
        <c:tickLblPos val="nextTo"/>
        <c:crossAx val="147538304"/>
        <c:crosses val="autoZero"/>
        <c:auto val="1"/>
        <c:lblAlgn val="ctr"/>
        <c:lblOffset val="100"/>
      </c:catAx>
      <c:valAx>
        <c:axId val="147538304"/>
        <c:scaling>
          <c:orientation val="minMax"/>
        </c:scaling>
        <c:axPos val="l"/>
        <c:majorGridlines/>
        <c:numFmt formatCode="General" sourceLinked="1"/>
        <c:tickLblPos val="nextTo"/>
        <c:crossAx val="147528320"/>
        <c:crosses val="autoZero"/>
        <c:crossBetween val="between"/>
      </c:valAx>
    </c:plotArea>
    <c:legend>
      <c:legendPos val="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Annual Average Employment and Wages 2000-2008</a:t>
            </a:r>
          </a:p>
        </c:rich>
      </c:tx>
    </c:title>
    <c:plotArea>
      <c:layout/>
      <c:lineChart>
        <c:grouping val="standard"/>
        <c:ser>
          <c:idx val="0"/>
          <c:order val="0"/>
          <c:tx>
            <c:strRef>
              <c:f>Sheet1!$B$1</c:f>
              <c:strCache>
                <c:ptCount val="1"/>
                <c:pt idx="0">
                  <c:v>Annual Average Employment (# of workers)</c:v>
                </c:pt>
              </c:strCache>
            </c:strRef>
          </c:tx>
          <c:cat>
            <c:numRef>
              <c:f>Sheet1!$A$2:$A$10</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Sheet1!$B$2:$B$10</c:f>
              <c:numCache>
                <c:formatCode>General</c:formatCode>
                <c:ptCount val="9"/>
                <c:pt idx="0">
                  <c:v>173234</c:v>
                </c:pt>
                <c:pt idx="1">
                  <c:v>175745</c:v>
                </c:pt>
                <c:pt idx="2">
                  <c:v>180162</c:v>
                </c:pt>
                <c:pt idx="3">
                  <c:v>182144</c:v>
                </c:pt>
                <c:pt idx="4">
                  <c:v>183898</c:v>
                </c:pt>
                <c:pt idx="5">
                  <c:v>185643</c:v>
                </c:pt>
                <c:pt idx="6">
                  <c:v>187716</c:v>
                </c:pt>
                <c:pt idx="7">
                  <c:v>192006</c:v>
                </c:pt>
                <c:pt idx="8">
                  <c:v>196507</c:v>
                </c:pt>
              </c:numCache>
            </c:numRef>
          </c:val>
        </c:ser>
        <c:ser>
          <c:idx val="1"/>
          <c:order val="1"/>
          <c:tx>
            <c:strRef>
              <c:f>Sheet1!$C$1</c:f>
              <c:strCache>
                <c:ptCount val="1"/>
                <c:pt idx="0">
                  <c:v>Average Annual Wage</c:v>
                </c:pt>
              </c:strCache>
            </c:strRef>
          </c:tx>
          <c:cat>
            <c:numRef>
              <c:f>Sheet1!$A$2:$A$10</c:f>
              <c:numCache>
                <c:formatCode>General</c:formatCode>
                <c:ptCount val="9"/>
                <c:pt idx="0">
                  <c:v>2000</c:v>
                </c:pt>
                <c:pt idx="1">
                  <c:v>2001</c:v>
                </c:pt>
                <c:pt idx="2">
                  <c:v>2002</c:v>
                </c:pt>
                <c:pt idx="3">
                  <c:v>2003</c:v>
                </c:pt>
                <c:pt idx="4">
                  <c:v>2004</c:v>
                </c:pt>
                <c:pt idx="5">
                  <c:v>2005</c:v>
                </c:pt>
                <c:pt idx="6">
                  <c:v>2006</c:v>
                </c:pt>
                <c:pt idx="7">
                  <c:v>2007</c:v>
                </c:pt>
                <c:pt idx="8">
                  <c:v>2008</c:v>
                </c:pt>
              </c:numCache>
            </c:numRef>
          </c:cat>
          <c:val>
            <c:numRef>
              <c:f>Sheet1!$C$2:$C$10</c:f>
              <c:numCache>
                <c:formatCode>General</c:formatCode>
                <c:ptCount val="9"/>
                <c:pt idx="0">
                  <c:v>37139</c:v>
                </c:pt>
                <c:pt idx="1">
                  <c:v>38979</c:v>
                </c:pt>
                <c:pt idx="2">
                  <c:v>40381</c:v>
                </c:pt>
                <c:pt idx="3">
                  <c:v>41655</c:v>
                </c:pt>
                <c:pt idx="4">
                  <c:v>43218</c:v>
                </c:pt>
                <c:pt idx="5">
                  <c:v>44821</c:v>
                </c:pt>
                <c:pt idx="6">
                  <c:v>46336</c:v>
                </c:pt>
                <c:pt idx="7">
                  <c:v>47956</c:v>
                </c:pt>
                <c:pt idx="8">
                  <c:v>49954</c:v>
                </c:pt>
              </c:numCache>
            </c:numRef>
          </c:val>
        </c:ser>
        <c:marker val="1"/>
        <c:axId val="147567360"/>
        <c:axId val="147569280"/>
      </c:lineChart>
      <c:catAx>
        <c:axId val="147567360"/>
        <c:scaling>
          <c:orientation val="minMax"/>
        </c:scaling>
        <c:axPos val="b"/>
        <c:title>
          <c:tx>
            <c:rich>
              <a:bodyPr/>
              <a:lstStyle/>
              <a:p>
                <a:pPr>
                  <a:defRPr/>
                </a:pPr>
                <a:r>
                  <a:rPr lang="en-US"/>
                  <a:t>Year</a:t>
                </a:r>
              </a:p>
            </c:rich>
          </c:tx>
        </c:title>
        <c:numFmt formatCode="General" sourceLinked="1"/>
        <c:tickLblPos val="nextTo"/>
        <c:crossAx val="147569280"/>
        <c:crosses val="autoZero"/>
        <c:auto val="1"/>
        <c:lblAlgn val="ctr"/>
        <c:lblOffset val="100"/>
      </c:catAx>
      <c:valAx>
        <c:axId val="147569280"/>
        <c:scaling>
          <c:orientation val="minMax"/>
        </c:scaling>
        <c:axPos val="l"/>
        <c:majorGridlines/>
        <c:title>
          <c:tx>
            <c:rich>
              <a:bodyPr/>
              <a:lstStyle/>
              <a:p>
                <a:pPr>
                  <a:defRPr/>
                </a:pPr>
                <a:r>
                  <a:rPr lang="en-US"/>
                  <a:t>Salary/Number Employed</a:t>
                </a:r>
              </a:p>
            </c:rich>
          </c:tx>
        </c:title>
        <c:numFmt formatCode="General" sourceLinked="1"/>
        <c:tickLblPos val="nextTo"/>
        <c:crossAx val="14756736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sz="1200"/>
              <a:t>OCCUPATIONS WITH THE HIGHEST AVERAGE ANNUAL WAGE  </a:t>
            </a:r>
          </a:p>
        </c:rich>
      </c:tx>
    </c:title>
    <c:plotArea>
      <c:layout/>
      <c:barChart>
        <c:barDir val="col"/>
        <c:grouping val="clustered"/>
        <c:ser>
          <c:idx val="0"/>
          <c:order val="0"/>
          <c:tx>
            <c:strRef>
              <c:f>Sheet1!$J$4</c:f>
              <c:strCache>
                <c:ptCount val="1"/>
                <c:pt idx="0">
                  <c:v>Surgeon</c:v>
                </c:pt>
              </c:strCache>
            </c:strRef>
          </c:tx>
          <c:val>
            <c:numRef>
              <c:f>Sheet1!$K$4</c:f>
              <c:numCache>
                <c:formatCode>_("$"* #,##0.00_);_("$"* \(#,##0.00\);_("$"* "-"??_);_(@_)</c:formatCode>
                <c:ptCount val="1"/>
                <c:pt idx="0">
                  <c:v>219500</c:v>
                </c:pt>
              </c:numCache>
            </c:numRef>
          </c:val>
        </c:ser>
        <c:ser>
          <c:idx val="1"/>
          <c:order val="1"/>
          <c:tx>
            <c:strRef>
              <c:f>Sheet1!$J$5</c:f>
              <c:strCache>
                <c:ptCount val="1"/>
                <c:pt idx="0">
                  <c:v>Obstetricians and Gynecologists</c:v>
                </c:pt>
              </c:strCache>
            </c:strRef>
          </c:tx>
          <c:val>
            <c:numRef>
              <c:f>Sheet1!$K$5</c:f>
              <c:numCache>
                <c:formatCode>_("$"* #,##0.00_);_("$"* \(#,##0.00\);_("$"* "-"??_);_(@_)</c:formatCode>
                <c:ptCount val="1"/>
                <c:pt idx="0">
                  <c:v>206170</c:v>
                </c:pt>
              </c:numCache>
            </c:numRef>
          </c:val>
        </c:ser>
        <c:ser>
          <c:idx val="2"/>
          <c:order val="2"/>
          <c:tx>
            <c:strRef>
              <c:f>Sheet1!$J$6</c:f>
              <c:strCache>
                <c:ptCount val="1"/>
                <c:pt idx="0">
                  <c:v>Internists, General</c:v>
                </c:pt>
              </c:strCache>
            </c:strRef>
          </c:tx>
          <c:val>
            <c:numRef>
              <c:f>Sheet1!$K$6</c:f>
              <c:numCache>
                <c:formatCode>_("$"* #,##0.00_);_("$"* \(#,##0.00\);_("$"* "-"??_);_(@_)</c:formatCode>
                <c:ptCount val="1"/>
                <c:pt idx="0">
                  <c:v>187213</c:v>
                </c:pt>
              </c:numCache>
            </c:numRef>
          </c:val>
        </c:ser>
        <c:ser>
          <c:idx val="3"/>
          <c:order val="3"/>
          <c:tx>
            <c:strRef>
              <c:f>Sheet1!$J$7</c:f>
              <c:strCache>
                <c:ptCount val="1"/>
                <c:pt idx="0">
                  <c:v>Psychiatrists</c:v>
                </c:pt>
              </c:strCache>
            </c:strRef>
          </c:tx>
          <c:val>
            <c:numRef>
              <c:f>Sheet1!$K$7</c:f>
              <c:numCache>
                <c:formatCode>_("$"* #,##0.00_);_("$"* \(#,##0.00\);_("$"* "-"??_);_(@_)</c:formatCode>
                <c:ptCount val="1"/>
                <c:pt idx="0">
                  <c:v>184777</c:v>
                </c:pt>
              </c:numCache>
            </c:numRef>
          </c:val>
        </c:ser>
        <c:ser>
          <c:idx val="4"/>
          <c:order val="4"/>
          <c:tx>
            <c:strRef>
              <c:f>Sheet1!$J$8</c:f>
              <c:strCache>
                <c:ptCount val="1"/>
                <c:pt idx="0">
                  <c:v>Physicians and Surgeons, All Other</c:v>
                </c:pt>
              </c:strCache>
            </c:strRef>
          </c:tx>
          <c:val>
            <c:numRef>
              <c:f>Sheet1!$K$8</c:f>
              <c:numCache>
                <c:formatCode>_("$"* #,##0.00_);_("$"* \(#,##0.00\);_("$"* "-"??_);_(@_)</c:formatCode>
                <c:ptCount val="1"/>
                <c:pt idx="0">
                  <c:v>177908</c:v>
                </c:pt>
              </c:numCache>
            </c:numRef>
          </c:val>
        </c:ser>
        <c:axId val="155142016"/>
        <c:axId val="155143552"/>
      </c:barChart>
      <c:catAx>
        <c:axId val="155142016"/>
        <c:scaling>
          <c:orientation val="minMax"/>
        </c:scaling>
        <c:delete val="1"/>
        <c:axPos val="b"/>
        <c:numFmt formatCode="_(&quot;$&quot;* #,##0.00_);_(&quot;$&quot;* \(#,##0.00\);_(&quot;$&quot;* &quot;-&quot;??_);_(@_)" sourceLinked="1"/>
        <c:tickLblPos val="none"/>
        <c:crossAx val="155143552"/>
        <c:crosses val="autoZero"/>
        <c:auto val="1"/>
        <c:lblAlgn val="ctr"/>
        <c:lblOffset val="100"/>
      </c:catAx>
      <c:valAx>
        <c:axId val="155143552"/>
        <c:scaling>
          <c:orientation val="minMax"/>
        </c:scaling>
        <c:axPos val="l"/>
        <c:majorGridlines/>
        <c:numFmt formatCode="_(&quot;$&quot;* #,##0.00_);_(&quot;$&quot;* \(#,##0.00\);_(&quot;$&quot;* &quot;-&quot;??_);_(@_)" sourceLinked="1"/>
        <c:tickLblPos val="nextTo"/>
        <c:crossAx val="155142016"/>
        <c:crosses val="autoZero"/>
        <c:crossBetween val="between"/>
      </c:valAx>
    </c:plotArea>
    <c:legend>
      <c:legendPos val="r"/>
      <c:layout>
        <c:manualLayout>
          <c:xMode val="edge"/>
          <c:yMode val="edge"/>
          <c:x val="0.64166666666666705"/>
          <c:y val="0.28004301545640076"/>
          <c:w val="0.34166666666667012"/>
          <c:h val="0.66121026538350114"/>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sz="1200"/>
            </a:pPr>
            <a:r>
              <a:rPr lang="en-US" sz="1200"/>
              <a:t>Salary Data for CT Health Care Industry First Quarter 2009</a:t>
            </a:r>
            <a:endParaRPr lang="en-US" sz="1200" baseline="0"/>
          </a:p>
        </c:rich>
      </c:tx>
    </c:title>
    <c:plotArea>
      <c:layout>
        <c:manualLayout>
          <c:layoutTarget val="inner"/>
          <c:xMode val="edge"/>
          <c:yMode val="edge"/>
          <c:x val="0.16300864735657997"/>
          <c:y val="0.19245210953108521"/>
          <c:w val="0.56148708049843299"/>
          <c:h val="0.55593237177127885"/>
        </c:manualLayout>
      </c:layout>
      <c:barChart>
        <c:barDir val="col"/>
        <c:grouping val="clustered"/>
        <c:ser>
          <c:idx val="0"/>
          <c:order val="0"/>
          <c:tx>
            <c:strRef>
              <c:f>Sheet1!$D$4</c:f>
              <c:strCache>
                <c:ptCount val="1"/>
                <c:pt idx="0">
                  <c:v>Healthcare Practitioners and Technical Occupations</c:v>
                </c:pt>
              </c:strCache>
            </c:strRef>
          </c:tx>
          <c:cat>
            <c:strRef>
              <c:f>Sheet1!$E$2:$I$2</c:f>
              <c:strCache>
                <c:ptCount val="5"/>
                <c:pt idx="0">
                  <c:v>Mid Wage</c:v>
                </c:pt>
                <c:pt idx="1">
                  <c:v>Average Wage</c:v>
                </c:pt>
                <c:pt idx="2">
                  <c:v>Entry Level Wage</c:v>
                </c:pt>
                <c:pt idx="3">
                  <c:v>Wage Range (Low)</c:v>
                </c:pt>
                <c:pt idx="4">
                  <c:v>Wage Range (High)</c:v>
                </c:pt>
              </c:strCache>
            </c:strRef>
          </c:cat>
          <c:val>
            <c:numRef>
              <c:f>Sheet1!$E$4:$I$4</c:f>
              <c:numCache>
                <c:formatCode>_("$"* #,##0.00_);_("$"* \(#,##0.00\);_("$"* "-"??_);_(@_)</c:formatCode>
                <c:ptCount val="5"/>
                <c:pt idx="0">
                  <c:v>66318</c:v>
                </c:pt>
                <c:pt idx="1">
                  <c:v>76133</c:v>
                </c:pt>
                <c:pt idx="2">
                  <c:v>43295</c:v>
                </c:pt>
                <c:pt idx="3">
                  <c:v>37404</c:v>
                </c:pt>
                <c:pt idx="4">
                  <c:v>118938</c:v>
                </c:pt>
              </c:numCache>
            </c:numRef>
          </c:val>
        </c:ser>
        <c:ser>
          <c:idx val="1"/>
          <c:order val="1"/>
          <c:tx>
            <c:strRef>
              <c:f>Sheet1!$D$5</c:f>
              <c:strCache>
                <c:ptCount val="1"/>
                <c:pt idx="0">
                  <c:v>Healthcare Support Operations</c:v>
                </c:pt>
              </c:strCache>
            </c:strRef>
          </c:tx>
          <c:cat>
            <c:strRef>
              <c:f>Sheet1!$E$2:$I$2</c:f>
              <c:strCache>
                <c:ptCount val="5"/>
                <c:pt idx="0">
                  <c:v>Mid Wage</c:v>
                </c:pt>
                <c:pt idx="1">
                  <c:v>Average Wage</c:v>
                </c:pt>
                <c:pt idx="2">
                  <c:v>Entry Level Wage</c:v>
                </c:pt>
                <c:pt idx="3">
                  <c:v>Wage Range (Low)</c:v>
                </c:pt>
                <c:pt idx="4">
                  <c:v>Wage Range (High)</c:v>
                </c:pt>
              </c:strCache>
            </c:strRef>
          </c:cat>
          <c:val>
            <c:numRef>
              <c:f>Sheet1!$E$5:$I$5</c:f>
              <c:numCache>
                <c:formatCode>_("$"* #,##0.00_);_("$"* \(#,##0.00\);_("$"* "-"??_);_(@_)</c:formatCode>
                <c:ptCount val="5"/>
                <c:pt idx="0">
                  <c:v>30882</c:v>
                </c:pt>
                <c:pt idx="1">
                  <c:v>32168</c:v>
                </c:pt>
                <c:pt idx="2">
                  <c:v>24465</c:v>
                </c:pt>
                <c:pt idx="3">
                  <c:v>22761</c:v>
                </c:pt>
                <c:pt idx="4">
                  <c:v>42788</c:v>
                </c:pt>
              </c:numCache>
            </c:numRef>
          </c:val>
        </c:ser>
        <c:axId val="155186304"/>
        <c:axId val="155187840"/>
      </c:barChart>
      <c:catAx>
        <c:axId val="155186304"/>
        <c:scaling>
          <c:orientation val="minMax"/>
        </c:scaling>
        <c:axPos val="b"/>
        <c:tickLblPos val="nextTo"/>
        <c:crossAx val="155187840"/>
        <c:crosses val="autoZero"/>
        <c:auto val="1"/>
        <c:lblAlgn val="ctr"/>
        <c:lblOffset val="100"/>
      </c:catAx>
      <c:valAx>
        <c:axId val="155187840"/>
        <c:scaling>
          <c:orientation val="minMax"/>
        </c:scaling>
        <c:axPos val="l"/>
        <c:majorGridlines/>
        <c:numFmt formatCode="_(&quot;$&quot;* #,##0.00_);_(&quot;$&quot;* \(#,##0.00\);_(&quot;$&quot;* &quot;-&quot;??_);_(@_)" sourceLinked="1"/>
        <c:tickLblPos val="nextTo"/>
        <c:txPr>
          <a:bodyPr rot="0" vert="horz"/>
          <a:lstStyle/>
          <a:p>
            <a:pPr>
              <a:defRPr/>
            </a:pPr>
            <a:endParaRPr lang="en-US"/>
          </a:p>
        </c:txPr>
        <c:crossAx val="155186304"/>
        <c:crosses val="autoZero"/>
        <c:crossBetween val="between"/>
      </c:valAx>
    </c:plotArea>
    <c:legend>
      <c:legendPos val="r"/>
      <c:layout>
        <c:manualLayout>
          <c:xMode val="edge"/>
          <c:yMode val="edge"/>
          <c:x val="0.74750210584141386"/>
          <c:y val="0.17316688092559901"/>
          <c:w val="0.19907407407407388"/>
          <c:h val="0.82683311907440105"/>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550" b="1" i="0" u="none" strike="noStrike" baseline="0">
                <a:solidFill>
                  <a:srgbClr val="000000"/>
                </a:solidFill>
                <a:latin typeface="Arial"/>
                <a:ea typeface="Arial"/>
                <a:cs typeface="Arial"/>
              </a:defRPr>
            </a:pPr>
            <a:r>
              <a:rPr lang="en-US"/>
              <a:t>Immigrant Distribution in CT (2000)</a:t>
            </a:r>
          </a:p>
        </c:rich>
      </c:tx>
      <c:layout>
        <c:manualLayout>
          <c:xMode val="edge"/>
          <c:yMode val="edge"/>
          <c:x val="0.21300846831883324"/>
          <c:y val="3.2345013477089499E-2"/>
        </c:manualLayout>
      </c:layout>
      <c:spPr>
        <a:noFill/>
        <a:ln w="25400">
          <a:noFill/>
        </a:ln>
      </c:spPr>
    </c:title>
    <c:view3D>
      <c:hPercent val="5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869937547538138"/>
          <c:y val="0.17520215633423294"/>
          <c:w val="0.85853794864384625"/>
          <c:h val="0.71698113207548209"/>
        </c:manualLayout>
      </c:layout>
      <c:bar3DChart>
        <c:barDir val="col"/>
        <c:grouping val="clustered"/>
        <c:ser>
          <c:idx val="0"/>
          <c:order val="0"/>
          <c:spPr>
            <a:solidFill>
              <a:srgbClr val="9999FF"/>
            </a:solidFill>
            <a:ln w="12700">
              <a:solidFill>
                <a:srgbClr val="000000"/>
              </a:solidFill>
              <a:prstDash val="solid"/>
            </a:ln>
          </c:spPr>
          <c:cat>
            <c:strRef>
              <c:f>Sheet1!$C$110:$C$115</c:f>
              <c:strCache>
                <c:ptCount val="6"/>
                <c:pt idx="0">
                  <c:v>Stamford</c:v>
                </c:pt>
                <c:pt idx="1">
                  <c:v>Bridgeport</c:v>
                </c:pt>
                <c:pt idx="2">
                  <c:v>Hartford</c:v>
                </c:pt>
                <c:pt idx="3">
                  <c:v>Danbury</c:v>
                </c:pt>
                <c:pt idx="4">
                  <c:v>Norwalk</c:v>
                </c:pt>
                <c:pt idx="5">
                  <c:v>New Haven</c:v>
                </c:pt>
              </c:strCache>
            </c:strRef>
          </c:cat>
          <c:val>
            <c:numRef>
              <c:f>Sheet1!$D$110:$D$115</c:f>
              <c:numCache>
                <c:formatCode>#,##0</c:formatCode>
                <c:ptCount val="6"/>
                <c:pt idx="0">
                  <c:v>35000</c:v>
                </c:pt>
                <c:pt idx="1">
                  <c:v>29000</c:v>
                </c:pt>
                <c:pt idx="2">
                  <c:v>23000</c:v>
                </c:pt>
                <c:pt idx="3">
                  <c:v>20000</c:v>
                </c:pt>
                <c:pt idx="4">
                  <c:v>17000</c:v>
                </c:pt>
                <c:pt idx="5">
                  <c:v>14000</c:v>
                </c:pt>
              </c:numCache>
            </c:numRef>
          </c:val>
        </c:ser>
        <c:shape val="box"/>
        <c:axId val="141023872"/>
        <c:axId val="141029760"/>
        <c:axId val="0"/>
      </c:bar3DChart>
      <c:catAx>
        <c:axId val="141023872"/>
        <c:scaling>
          <c:orientation val="minMax"/>
        </c:scaling>
        <c:axPos val="b"/>
        <c:numFmt formatCode="General" sourceLinked="1"/>
        <c:tickLblPos val="low"/>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41029760"/>
        <c:crosses val="autoZero"/>
        <c:auto val="1"/>
        <c:lblAlgn val="ctr"/>
        <c:lblOffset val="100"/>
        <c:tickLblSkip val="1"/>
        <c:tickMarkSkip val="1"/>
      </c:catAx>
      <c:valAx>
        <c:axId val="141029760"/>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41023872"/>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600" b="1" i="0" u="none" strike="noStrike" baseline="0">
                <a:solidFill>
                  <a:srgbClr val="000000"/>
                </a:solidFill>
                <a:latin typeface="Arial"/>
                <a:ea typeface="Arial"/>
                <a:cs typeface="Arial"/>
              </a:defRPr>
            </a:pPr>
            <a:r>
              <a:rPr lang="en-US"/>
              <a:t>Most Common Jobs Held by Immigrants in CT</a:t>
            </a:r>
          </a:p>
        </c:rich>
      </c:tx>
      <c:layout>
        <c:manualLayout>
          <c:xMode val="edge"/>
          <c:yMode val="edge"/>
          <c:x val="0.15634240807984393"/>
          <c:y val="3.1331592689295522E-2"/>
        </c:manualLayout>
      </c:layout>
      <c:spPr>
        <a:noFill/>
        <a:ln w="25400">
          <a:noFill/>
        </a:ln>
      </c:spPr>
    </c:title>
    <c:view3D>
      <c:hPercent val="4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8.6529161730891285E-2"/>
          <c:y val="0.17232375979112274"/>
          <c:w val="0.89675645389192349"/>
          <c:h val="0.70757180156658817"/>
        </c:manualLayout>
      </c:layout>
      <c:bar3DChart>
        <c:barDir val="col"/>
        <c:grouping val="clustered"/>
        <c:ser>
          <c:idx val="0"/>
          <c:order val="0"/>
          <c:spPr>
            <a:solidFill>
              <a:srgbClr val="9999FF"/>
            </a:solidFill>
            <a:ln w="12700">
              <a:solidFill>
                <a:srgbClr val="000000"/>
              </a:solidFill>
              <a:prstDash val="solid"/>
            </a:ln>
          </c:spPr>
          <c:cat>
            <c:strRef>
              <c:f>Sheet1!$C$79:$C$83</c:f>
              <c:strCache>
                <c:ptCount val="5"/>
                <c:pt idx="0">
                  <c:v>Accommodations &amp; Food</c:v>
                </c:pt>
                <c:pt idx="1">
                  <c:v>Other Services</c:v>
                </c:pt>
                <c:pt idx="2">
                  <c:v>Administrative/Support</c:v>
                </c:pt>
                <c:pt idx="3">
                  <c:v>Manufacturing</c:v>
                </c:pt>
                <c:pt idx="4">
                  <c:v>Construction</c:v>
                </c:pt>
              </c:strCache>
            </c:strRef>
          </c:cat>
          <c:val>
            <c:numRef>
              <c:f>Sheet1!$D$79:$D$83</c:f>
              <c:numCache>
                <c:formatCode>0%</c:formatCode>
                <c:ptCount val="5"/>
                <c:pt idx="0">
                  <c:v>0.21000000000000021</c:v>
                </c:pt>
                <c:pt idx="1">
                  <c:v>0.18000000000000024</c:v>
                </c:pt>
                <c:pt idx="2">
                  <c:v>0.18000000000000024</c:v>
                </c:pt>
                <c:pt idx="3">
                  <c:v>0.17</c:v>
                </c:pt>
                <c:pt idx="4">
                  <c:v>0.16</c:v>
                </c:pt>
              </c:numCache>
            </c:numRef>
          </c:val>
        </c:ser>
        <c:shape val="box"/>
        <c:axId val="155287552"/>
        <c:axId val="155289088"/>
        <c:axId val="0"/>
      </c:bar3DChart>
      <c:catAx>
        <c:axId val="155287552"/>
        <c:scaling>
          <c:orientation val="minMax"/>
        </c:scaling>
        <c:axPos val="b"/>
        <c:numFmt formatCode="General" sourceLinked="1"/>
        <c:tickLblPos val="low"/>
        <c:spPr>
          <a:ln w="3175">
            <a:solidFill>
              <a:srgbClr val="000000"/>
            </a:solidFill>
            <a:prstDash val="solid"/>
          </a:ln>
        </c:spPr>
        <c:txPr>
          <a:bodyPr rot="0" vert="horz"/>
          <a:lstStyle/>
          <a:p>
            <a:pPr>
              <a:defRPr sz="650" b="0" i="0" u="none" strike="noStrike" baseline="0">
                <a:solidFill>
                  <a:srgbClr val="000000"/>
                </a:solidFill>
                <a:latin typeface="Arial"/>
                <a:ea typeface="Arial"/>
                <a:cs typeface="Arial"/>
              </a:defRPr>
            </a:pPr>
            <a:endParaRPr lang="en-US"/>
          </a:p>
        </c:txPr>
        <c:crossAx val="155289088"/>
        <c:crosses val="autoZero"/>
        <c:auto val="1"/>
        <c:lblAlgn val="ctr"/>
        <c:lblOffset val="100"/>
        <c:tickLblSkip val="1"/>
        <c:tickMarkSkip val="1"/>
      </c:catAx>
      <c:valAx>
        <c:axId val="155289088"/>
        <c:scaling>
          <c:orientation val="minMax"/>
        </c:scaling>
        <c:axPos val="l"/>
        <c:majorGridlines>
          <c:spPr>
            <a:ln w="3175">
              <a:solidFill>
                <a:srgbClr val="000000"/>
              </a:solidFill>
              <a:prstDash val="solid"/>
            </a:ln>
          </c:spPr>
        </c:majorGridlines>
        <c:numFmt formatCode="0%"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55287552"/>
        <c:crosses val="autoZero"/>
        <c:crossBetween val="between"/>
      </c:valAx>
      <c:spPr>
        <a:noFill/>
        <a:ln w="25400">
          <a:noFill/>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18"/>
  <c:chart>
    <c:view3D>
      <c:rAngAx val="1"/>
    </c:view3D>
    <c:plotArea>
      <c:layout>
        <c:manualLayout>
          <c:layoutTarget val="inner"/>
          <c:xMode val="edge"/>
          <c:yMode val="edge"/>
          <c:x val="0.30401596675416093"/>
          <c:y val="0.180555555555556"/>
          <c:w val="0.412545056867891"/>
          <c:h val="0.67001932050160462"/>
        </c:manualLayout>
      </c:layout>
      <c:bar3DChart>
        <c:barDir val="bar"/>
        <c:grouping val="clustered"/>
        <c:ser>
          <c:idx val="0"/>
          <c:order val="0"/>
          <c:tx>
            <c:strRef>
              <c:f>Sheet1!$B$1</c:f>
              <c:strCache>
                <c:ptCount val="1"/>
                <c:pt idx="0">
                  <c:v>Employed</c:v>
                </c:pt>
              </c:strCache>
            </c:strRef>
          </c:tx>
          <c:cat>
            <c:strRef>
              <c:f>Sheet1!$A$2:$A$10</c:f>
              <c:strCache>
                <c:ptCount val="9"/>
                <c:pt idx="0">
                  <c:v>Bridgeport-Stamford</c:v>
                </c:pt>
                <c:pt idx="1">
                  <c:v>Danbury</c:v>
                </c:pt>
                <c:pt idx="2">
                  <c:v>Enfield</c:v>
                </c:pt>
                <c:pt idx="3">
                  <c:v>Hartford</c:v>
                </c:pt>
                <c:pt idx="4">
                  <c:v>New Haven</c:v>
                </c:pt>
                <c:pt idx="5">
                  <c:v>Norwich-New London</c:v>
                </c:pt>
                <c:pt idx="6">
                  <c:v>Torrinton</c:v>
                </c:pt>
                <c:pt idx="7">
                  <c:v>Waterbury</c:v>
                </c:pt>
                <c:pt idx="8">
                  <c:v>Willimantic-Danielson</c:v>
                </c:pt>
              </c:strCache>
            </c:strRef>
          </c:cat>
          <c:val>
            <c:numRef>
              <c:f>Sheet1!$B$2:$B$10</c:f>
              <c:numCache>
                <c:formatCode>#,##0</c:formatCode>
                <c:ptCount val="9"/>
                <c:pt idx="0">
                  <c:v>442076</c:v>
                </c:pt>
                <c:pt idx="1">
                  <c:v>85727</c:v>
                </c:pt>
                <c:pt idx="2">
                  <c:v>46349</c:v>
                </c:pt>
                <c:pt idx="3">
                  <c:v>550086</c:v>
                </c:pt>
                <c:pt idx="4">
                  <c:v>291868</c:v>
                </c:pt>
                <c:pt idx="5">
                  <c:v>128568</c:v>
                </c:pt>
                <c:pt idx="6">
                  <c:v>50860</c:v>
                </c:pt>
                <c:pt idx="7">
                  <c:v>92079</c:v>
                </c:pt>
                <c:pt idx="8">
                  <c:v>53370</c:v>
                </c:pt>
              </c:numCache>
            </c:numRef>
          </c:val>
        </c:ser>
        <c:ser>
          <c:idx val="1"/>
          <c:order val="1"/>
          <c:tx>
            <c:strRef>
              <c:f>Sheet1!$C$1</c:f>
              <c:strCache>
                <c:ptCount val="1"/>
                <c:pt idx="0">
                  <c:v>Unemployed</c:v>
                </c:pt>
              </c:strCache>
            </c:strRef>
          </c:tx>
          <c:cat>
            <c:strRef>
              <c:f>Sheet1!$A$2:$A$10</c:f>
              <c:strCache>
                <c:ptCount val="9"/>
                <c:pt idx="0">
                  <c:v>Bridgeport-Stamford</c:v>
                </c:pt>
                <c:pt idx="1">
                  <c:v>Danbury</c:v>
                </c:pt>
                <c:pt idx="2">
                  <c:v>Enfield</c:v>
                </c:pt>
                <c:pt idx="3">
                  <c:v>Hartford</c:v>
                </c:pt>
                <c:pt idx="4">
                  <c:v>New Haven</c:v>
                </c:pt>
                <c:pt idx="5">
                  <c:v>Norwich-New London</c:v>
                </c:pt>
                <c:pt idx="6">
                  <c:v>Torrinton</c:v>
                </c:pt>
                <c:pt idx="7">
                  <c:v>Waterbury</c:v>
                </c:pt>
                <c:pt idx="8">
                  <c:v>Willimantic-Danielson</c:v>
                </c:pt>
              </c:strCache>
            </c:strRef>
          </c:cat>
          <c:val>
            <c:numRef>
              <c:f>Sheet1!$C$2:$C$10</c:f>
              <c:numCache>
                <c:formatCode>#,##0</c:formatCode>
                <c:ptCount val="9"/>
                <c:pt idx="0">
                  <c:v>38201</c:v>
                </c:pt>
                <c:pt idx="1">
                  <c:v>6762</c:v>
                </c:pt>
                <c:pt idx="2">
                  <c:v>3893</c:v>
                </c:pt>
                <c:pt idx="3">
                  <c:v>50516</c:v>
                </c:pt>
                <c:pt idx="4">
                  <c:v>26525</c:v>
                </c:pt>
                <c:pt idx="5">
                  <c:v>10902</c:v>
                </c:pt>
                <c:pt idx="6">
                  <c:v>4514</c:v>
                </c:pt>
                <c:pt idx="7">
                  <c:v>11572</c:v>
                </c:pt>
                <c:pt idx="8">
                  <c:v>5443</c:v>
                </c:pt>
              </c:numCache>
            </c:numRef>
          </c:val>
        </c:ser>
        <c:shape val="cylinder"/>
        <c:axId val="155308800"/>
        <c:axId val="155310336"/>
        <c:axId val="0"/>
      </c:bar3DChart>
      <c:catAx>
        <c:axId val="155308800"/>
        <c:scaling>
          <c:orientation val="minMax"/>
        </c:scaling>
        <c:axPos val="l"/>
        <c:tickLblPos val="nextTo"/>
        <c:crossAx val="155310336"/>
        <c:crosses val="autoZero"/>
        <c:auto val="1"/>
        <c:lblAlgn val="ctr"/>
        <c:lblOffset val="100"/>
      </c:catAx>
      <c:valAx>
        <c:axId val="155310336"/>
        <c:scaling>
          <c:orientation val="minMax"/>
        </c:scaling>
        <c:axPos val="b"/>
        <c:majorGridlines/>
        <c:numFmt formatCode="#,##0" sourceLinked="1"/>
        <c:tickLblPos val="nextTo"/>
        <c:crossAx val="15530880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Fer09</b:Tag>
    <b:SourceType>ArticleInAPeriodical</b:SourceType>
    <b:Guid>{19BDB81F-E4C7-3C46-944D-6EB92967185D}</b:Guid>
    <b:LCID>0</b:LCID>
    <b:Author>
      <b:Author>
        <b:NameList>
          <b:Person>
            <b:Last>Cullen</b:Last>
            <b:First>Fergus</b:First>
          </b:Person>
        </b:NameList>
      </b:Author>
    </b:Author>
    <b:Title>Out-Migration Weakening Connecticut</b:Title>
    <b:Year>2009</b:Year>
    <b:Month>October</b:Month>
    <b:Day>8</b:Day>
    <b:PeriodicalTitle>Connecticut Post</b:PeriodicalTitle>
    <b:RefOrder>1</b:RefOrder>
  </b:Source>
  <b:Source>
    <b:Tag>JSc09</b:Tag>
    <b:SourceType>DocumentFromInternetSite</b:SourceType>
    <b:Guid>{F52435DE-355C-E142-82E9-663590ADFBFB}</b:Guid>
    <b:LCID>0</b:LCID>
    <b:Author>
      <b:Author>
        <b:NameList>
          <b:Person>
            <b:Last>J. Scott Moody</b:Last>
            <b:First>M.A.,</b:First>
            <b:Middle>and Wendy P. Warcholik, Ph.D</b:Middle>
          </b:Person>
        </b:NameList>
      </b:Author>
    </b:Author>
    <b:Title>Last One Out Please Turn Off the Lights</b:Title>
    <b:Year>2009</b:Year>
    <b:Month>September</b:Month>
    <b:InternetSiteTitle>Yankee Institute for Public Policy</b:InternetSiteTitle>
    <b:URL>http://www.yankeeinstitute.org/</b:URL>
    <b:YearAccessed>2009</b:YearAccessed>
    <b:MonthAccessed>November</b:MonthAccessed>
    <b:RefOrder>2</b:RefOrder>
  </b:Source>
  <b:Source>
    <b:Tag>USC08</b:Tag>
    <b:SourceType>ElectronicSource</b:SourceType>
    <b:Guid>{B0D0588B-2D5D-4A47-9C18-C7882641411A}</b:Guid>
    <b:LCID>0</b:LCID>
    <b:Author>
      <b:Author>
        <b:NameList>
          <b:Person>
            <b:Last>Bureau</b:Last>
            <b:First>US</b:First>
            <b:Middle>Census</b:Middle>
          </b:Person>
        </b:NameList>
      </b:Author>
    </b:Author>
    <b:Title>Connecticut Population Finder</b:Title>
    <b:Year>2008</b:Year>
    <b:RefOrder>3</b:RefOrder>
  </b:Source>
</b:Sources>
</file>

<file path=customXml/itemProps1.xml><?xml version="1.0" encoding="utf-8"?>
<ds:datastoreItem xmlns:ds="http://schemas.openxmlformats.org/officeDocument/2006/customXml" ds:itemID="{6637F40D-131F-42C7-874E-C6D814C14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11411</Words>
  <Characters>65045</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 Trapps</dc:creator>
  <cp:lastModifiedBy>Mleclair</cp:lastModifiedBy>
  <cp:revision>2</cp:revision>
  <cp:lastPrinted>2010-02-24T23:08:00Z</cp:lastPrinted>
  <dcterms:created xsi:type="dcterms:W3CDTF">2010-03-09T18:21:00Z</dcterms:created>
  <dcterms:modified xsi:type="dcterms:W3CDTF">2010-03-09T18:21:00Z</dcterms:modified>
</cp:coreProperties>
</file>